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7A12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auto"/>
          <w:spacing w:val="0"/>
          <w:sz w:val="24"/>
          <w:szCs w:val="24"/>
          <w:shd w:val="clear" w:fill="FFFFFF"/>
          <w:lang w:val="en-US" w:eastAsia="zh-CN"/>
        </w:rPr>
      </w:pPr>
    </w:p>
    <w:p w14:paraId="42A7A24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auto"/>
          <w:spacing w:val="0"/>
          <w:sz w:val="24"/>
          <w:szCs w:val="24"/>
          <w:shd w:val="clear" w:fill="FFFFFF"/>
          <w:lang w:val="en-US" w:eastAsia="zh-CN"/>
        </w:rPr>
      </w:pPr>
    </w:p>
    <w:p w14:paraId="07E0D67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auto"/>
          <w:spacing w:val="0"/>
          <w:sz w:val="24"/>
          <w:szCs w:val="24"/>
          <w:shd w:val="clear" w:fill="FFFFFF"/>
          <w:lang w:val="en-US" w:eastAsia="zh-CN"/>
        </w:rPr>
      </w:pPr>
    </w:p>
    <w:p w14:paraId="44948DB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auto"/>
          <w:spacing w:val="0"/>
          <w:sz w:val="24"/>
          <w:szCs w:val="24"/>
          <w:shd w:val="clear" w:fill="FFFFFF"/>
          <w:lang w:val="en-US" w:eastAsia="zh-CN"/>
        </w:rPr>
      </w:pPr>
    </w:p>
    <w:p w14:paraId="061C4A5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auto"/>
          <w:spacing w:val="0"/>
          <w:sz w:val="24"/>
          <w:szCs w:val="24"/>
          <w:shd w:val="clear" w:fill="FFFFFF"/>
          <w:lang w:val="en-US" w:eastAsia="zh-CN"/>
        </w:rPr>
      </w:pPr>
    </w:p>
    <w:p w14:paraId="6323504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auto"/>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auto"/>
          <w:spacing w:val="0"/>
          <w:sz w:val="40"/>
          <w:szCs w:val="40"/>
          <w:shd w:val="clear" w:fill="FFFFFF"/>
          <w:lang w:val="en-US" w:eastAsia="zh-CN"/>
        </w:rPr>
        <w:t>2025年度怀化开放大学部门整体支出</w:t>
      </w:r>
    </w:p>
    <w:p w14:paraId="5AD8FC5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auto"/>
          <w:spacing w:val="0"/>
          <w:sz w:val="40"/>
          <w:szCs w:val="40"/>
          <w:shd w:val="clear" w:fill="FFFFFF"/>
          <w:lang w:val="en-US" w:eastAsia="zh-CN"/>
        </w:rPr>
      </w:pPr>
    </w:p>
    <w:p w14:paraId="0790C8D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auto"/>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auto"/>
          <w:spacing w:val="0"/>
          <w:sz w:val="40"/>
          <w:szCs w:val="40"/>
          <w:shd w:val="clear" w:fill="FFFFFF"/>
          <w:lang w:val="en-US" w:eastAsia="zh-CN"/>
        </w:rPr>
        <w:t>绩效自评报告</w:t>
      </w:r>
    </w:p>
    <w:p w14:paraId="3EB9AEA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auto"/>
          <w:spacing w:val="0"/>
          <w:sz w:val="40"/>
          <w:szCs w:val="40"/>
          <w:shd w:val="clear" w:fill="FFFFFF"/>
          <w:lang w:val="en-US" w:eastAsia="zh-CN"/>
        </w:rPr>
      </w:pPr>
    </w:p>
    <w:p w14:paraId="7F33D64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D2BB2C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3739B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CF4C1C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3271B2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BD7E35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0F9987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0A5BB6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C2B4FF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AAD874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74F0B8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3C39CE2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2E2771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585ADC6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47F1F1C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单位名称（盖章）：怀化开放大学</w:t>
      </w:r>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4E46F4C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b w:val="0"/>
          <w:bCs w:val="0"/>
          <w:color w:val="auto"/>
          <w:sz w:val="32"/>
          <w:szCs w:val="32"/>
          <w:highlight w:val="none"/>
          <w:lang w:val="en-US" w:eastAsia="zh-CN"/>
        </w:rPr>
      </w:pPr>
      <w:r>
        <w:rPr>
          <w:rFonts w:hint="eastAsia" w:ascii="Times New Roman Regular" w:hAnsi="Times New Roman Regular" w:eastAsia="仿宋_GB2312" w:cs="Times New Roman Regular"/>
          <w:b w:val="0"/>
          <w:bCs w:val="0"/>
          <w:color w:val="auto"/>
          <w:sz w:val="32"/>
          <w:szCs w:val="32"/>
          <w:highlight w:val="none"/>
          <w:lang w:val="en-US" w:eastAsia="zh-CN"/>
        </w:rPr>
        <w:t>（一）部门基本情况。</w:t>
      </w:r>
    </w:p>
    <w:p w14:paraId="4E3D1DBD">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beforeAutospacing="0" w:afterAutospacing="0" w:line="520" w:lineRule="exact"/>
        <w:ind w:firstLine="640" w:firstLineChars="200"/>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1.机构设置情况</w:t>
      </w:r>
    </w:p>
    <w:p w14:paraId="69B1535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怀化开放大学是市政府举办的一所公办成人高等教育学校，为一级部门预算单位。学校领导职数设党委书记、校长、副校长和纪委书记共7人，内设党政办公室、组织人事科、教务科、招生与系统建设办公室、总务科、纪检监察室6个管理机构和教学与学生工作部、终身教育指导服务中心、培训部、教育信息技术中心4个教学辅助机构。</w:t>
      </w:r>
    </w:p>
    <w:p w14:paraId="0E9AF9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2.人员编制情况</w:t>
      </w:r>
    </w:p>
    <w:p w14:paraId="6CACCE9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学校经市编办核定的编制数为65人。2025年底，学校共有教职工106人，其中：在职在编教职工60人，聘用教职工9人，退休教职工37人。</w:t>
      </w:r>
    </w:p>
    <w:p w14:paraId="58A19B4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3.主要职能职责</w:t>
      </w:r>
    </w:p>
    <w:p w14:paraId="1319041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我校是由市人民政府举办，以促进终身学习为使命、以现代教育技术为支撑、以“互联网+”为特征的新型成人高等学校。作为一所主要以职业人为培养对象的高等学校，致力于面向全体社会成员的全民终身教育和本专科学历教育，与国家开放大学、湖南开放大学办学平台实现对接，将现代信息技术与教育深度融合，强调优质教育资源的集聚、整合和共享。学校按所属行业归口为市教育局直属学校，在业务上接受湖南开放大学指导，实行统筹规划、分级办学、分级管理，在12个县（市、区）设有工作站或教学点，形成了遍布全市城乡的开放教育网络。学校开设经济学、法学、教育学、文学、理学、工学、农学、医学、管理学等学科40多个本、专科专业，在籍学生5千多人。</w:t>
      </w:r>
    </w:p>
    <w:p w14:paraId="7673D65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4.绩效目标设定情况</w:t>
      </w:r>
    </w:p>
    <w:p w14:paraId="4D8A467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根据学校总体发展目标，主要绩效目标如下：</w:t>
      </w:r>
    </w:p>
    <w:p w14:paraId="16D980B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按照国家开放大学综合改革方案、省市对学习型社会建设和终身教育的有关要求，以开放式“互联网+教育”农民大学生培养计划、村（社区）基层组织人才定向培养项目为重点，以国家开放大学系统办学水平评估整改和“创优提质”战略为主线，不断深化绩效改革，全面提升学历教育、终身教育、干部网络教育的办学质量和办学水平，为新一轮乡村振兴战略贡献力量。</w:t>
      </w:r>
    </w:p>
    <w:p w14:paraId="42FF960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kern w:val="2"/>
          <w:sz w:val="32"/>
          <w:szCs w:val="32"/>
          <w:lang w:val="en-US" w:eastAsia="zh-CN" w:bidi="ar-SA"/>
        </w:rPr>
        <w:t>（二）</w:t>
      </w:r>
      <w:r>
        <w:rPr>
          <w:rFonts w:hint="eastAsia" w:ascii="Times New Roman Regular" w:hAnsi="Times New Roman Regular" w:eastAsia="仿宋_GB2312" w:cs="Times New Roman Regular"/>
          <w:color w:val="auto"/>
          <w:sz w:val="32"/>
          <w:szCs w:val="32"/>
          <w:highlight w:val="none"/>
          <w:lang w:val="en-US" w:eastAsia="zh-CN"/>
        </w:rPr>
        <w:t>部门整体支出规模、使用方向和主要内容、涉及范围等。</w:t>
      </w:r>
    </w:p>
    <w:p w14:paraId="145D5426">
      <w:pPr>
        <w:pStyle w:val="5"/>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2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bCs/>
          <w:color w:val="auto"/>
          <w:sz w:val="32"/>
          <w:szCs w:val="32"/>
          <w:highlight w:val="none"/>
        </w:rPr>
        <w:t>202</w:t>
      </w:r>
      <w:r>
        <w:rPr>
          <w:rFonts w:hint="eastAsia" w:ascii="仿宋" w:hAnsi="仿宋" w:eastAsia="仿宋" w:cs="仿宋"/>
          <w:bCs/>
          <w:color w:val="auto"/>
          <w:sz w:val="32"/>
          <w:szCs w:val="32"/>
          <w:highlight w:val="none"/>
          <w:lang w:val="en-US" w:eastAsia="zh-CN"/>
        </w:rPr>
        <w:t>5</w:t>
      </w:r>
      <w:r>
        <w:rPr>
          <w:rFonts w:hint="eastAsia" w:ascii="仿宋" w:hAnsi="仿宋" w:eastAsia="仿宋" w:cs="仿宋"/>
          <w:bCs/>
          <w:color w:val="auto"/>
          <w:sz w:val="32"/>
          <w:szCs w:val="32"/>
          <w:highlight w:val="none"/>
        </w:rPr>
        <w:t>年</w:t>
      </w:r>
      <w:r>
        <w:rPr>
          <w:rFonts w:hint="eastAsia" w:ascii="仿宋" w:hAnsi="仿宋" w:eastAsia="仿宋" w:cs="仿宋"/>
          <w:bCs/>
          <w:color w:val="auto"/>
          <w:sz w:val="32"/>
          <w:szCs w:val="32"/>
          <w:highlight w:val="none"/>
          <w:lang w:val="en-US" w:eastAsia="zh-CN"/>
        </w:rPr>
        <w:t>学校</w:t>
      </w:r>
      <w:r>
        <w:rPr>
          <w:rFonts w:hint="eastAsia" w:ascii="仿宋" w:hAnsi="仿宋" w:eastAsia="仿宋" w:cs="仿宋"/>
          <w:bCs/>
          <w:color w:val="auto"/>
          <w:sz w:val="32"/>
          <w:szCs w:val="32"/>
          <w:highlight w:val="none"/>
        </w:rPr>
        <w:t>整体支出</w:t>
      </w:r>
      <w:r>
        <w:rPr>
          <w:rFonts w:hint="eastAsia" w:ascii="仿宋" w:hAnsi="仿宋" w:eastAsia="仿宋" w:cs="仿宋"/>
          <w:bCs/>
          <w:color w:val="auto"/>
          <w:sz w:val="32"/>
          <w:szCs w:val="32"/>
          <w:highlight w:val="none"/>
          <w:lang w:val="en-US" w:eastAsia="zh-CN"/>
        </w:rPr>
        <w:t>1862.98</w:t>
      </w:r>
      <w:r>
        <w:rPr>
          <w:rFonts w:hint="eastAsia" w:ascii="仿宋" w:hAnsi="仿宋" w:eastAsia="仿宋" w:cs="仿宋"/>
          <w:bCs/>
          <w:color w:val="auto"/>
          <w:sz w:val="32"/>
          <w:szCs w:val="32"/>
          <w:highlight w:val="none"/>
        </w:rPr>
        <w:t>万元。主要用于学校的正常运转、教学教研及后勤服务等方面开支的费用，其中：基本支出</w:t>
      </w:r>
      <w:r>
        <w:rPr>
          <w:rFonts w:hint="eastAsia" w:ascii="仿宋" w:hAnsi="仿宋" w:eastAsia="仿宋" w:cs="仿宋"/>
          <w:bCs/>
          <w:color w:val="auto"/>
          <w:sz w:val="32"/>
          <w:szCs w:val="32"/>
          <w:highlight w:val="none"/>
          <w:lang w:val="en-US" w:eastAsia="zh-CN"/>
        </w:rPr>
        <w:t>1537.11</w:t>
      </w:r>
      <w:r>
        <w:rPr>
          <w:rFonts w:hint="eastAsia" w:ascii="仿宋" w:hAnsi="仿宋" w:eastAsia="仿宋" w:cs="仿宋"/>
          <w:bCs/>
          <w:color w:val="auto"/>
          <w:sz w:val="32"/>
          <w:szCs w:val="32"/>
          <w:highlight w:val="none"/>
        </w:rPr>
        <w:t>万元，项目支出</w:t>
      </w:r>
      <w:r>
        <w:rPr>
          <w:rFonts w:hint="eastAsia" w:ascii="仿宋" w:hAnsi="仿宋" w:eastAsia="仿宋" w:cs="仿宋"/>
          <w:bCs/>
          <w:color w:val="auto"/>
          <w:sz w:val="32"/>
          <w:szCs w:val="32"/>
          <w:highlight w:val="none"/>
          <w:lang w:val="en-US" w:eastAsia="zh-CN"/>
        </w:rPr>
        <w:t>325.87</w:t>
      </w:r>
      <w:r>
        <w:rPr>
          <w:rFonts w:hint="eastAsia" w:ascii="仿宋" w:hAnsi="仿宋" w:eastAsia="仿宋" w:cs="仿宋"/>
          <w:bCs/>
          <w:color w:val="auto"/>
          <w:sz w:val="32"/>
          <w:szCs w:val="32"/>
          <w:highlight w:val="none"/>
        </w:rPr>
        <w:t>万元。</w:t>
      </w:r>
    </w:p>
    <w:p w14:paraId="1F950FF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53A5822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i w:val="0"/>
          <w:iCs w:val="0"/>
          <w:caps w:val="0"/>
          <w:color w:val="auto"/>
          <w:spacing w:val="0"/>
          <w:sz w:val="32"/>
          <w:szCs w:val="32"/>
          <w:highlight w:val="none"/>
        </w:rPr>
      </w:pPr>
      <w:r>
        <w:rPr>
          <w:rFonts w:hint="eastAsia" w:ascii="仿宋" w:hAnsi="仿宋" w:eastAsia="仿宋" w:cs="仿宋"/>
          <w:i w:val="0"/>
          <w:iCs w:val="0"/>
          <w:caps w:val="0"/>
          <w:color w:val="auto"/>
          <w:spacing w:val="0"/>
          <w:sz w:val="32"/>
          <w:szCs w:val="32"/>
          <w:highlight w:val="none"/>
          <w:vertAlign w:val="baseline"/>
        </w:rPr>
        <w:t>202</w:t>
      </w:r>
      <w:r>
        <w:rPr>
          <w:rFonts w:hint="eastAsia" w:ascii="仿宋" w:hAnsi="仿宋" w:eastAsia="仿宋" w:cs="仿宋"/>
          <w:i w:val="0"/>
          <w:iCs w:val="0"/>
          <w:caps w:val="0"/>
          <w:color w:val="auto"/>
          <w:spacing w:val="0"/>
          <w:sz w:val="32"/>
          <w:szCs w:val="32"/>
          <w:highlight w:val="none"/>
          <w:vertAlign w:val="baseline"/>
          <w:lang w:val="en-US" w:eastAsia="zh-CN"/>
        </w:rPr>
        <w:t>5</w:t>
      </w:r>
      <w:r>
        <w:rPr>
          <w:rFonts w:hint="eastAsia" w:ascii="仿宋" w:hAnsi="仿宋" w:eastAsia="仿宋" w:cs="仿宋"/>
          <w:i w:val="0"/>
          <w:iCs w:val="0"/>
          <w:caps w:val="0"/>
          <w:color w:val="auto"/>
          <w:spacing w:val="0"/>
          <w:sz w:val="32"/>
          <w:szCs w:val="32"/>
          <w:highlight w:val="none"/>
          <w:vertAlign w:val="baseline"/>
        </w:rPr>
        <w:t>年基本支出</w:t>
      </w:r>
      <w:r>
        <w:rPr>
          <w:rFonts w:hint="eastAsia" w:ascii="仿宋" w:hAnsi="仿宋" w:eastAsia="仿宋" w:cs="仿宋"/>
          <w:i w:val="0"/>
          <w:iCs w:val="0"/>
          <w:caps w:val="0"/>
          <w:color w:val="auto"/>
          <w:spacing w:val="0"/>
          <w:sz w:val="32"/>
          <w:szCs w:val="32"/>
          <w:highlight w:val="none"/>
          <w:vertAlign w:val="baseline"/>
          <w:lang w:val="en-US" w:eastAsia="zh-CN"/>
        </w:rPr>
        <w:t>1537.11</w:t>
      </w:r>
      <w:r>
        <w:rPr>
          <w:rFonts w:hint="eastAsia" w:ascii="仿宋" w:hAnsi="仿宋" w:eastAsia="仿宋" w:cs="仿宋"/>
          <w:i w:val="0"/>
          <w:iCs w:val="0"/>
          <w:caps w:val="0"/>
          <w:color w:val="auto"/>
          <w:spacing w:val="0"/>
          <w:sz w:val="32"/>
          <w:szCs w:val="32"/>
          <w:highlight w:val="none"/>
          <w:vertAlign w:val="baseline"/>
        </w:rPr>
        <w:t>万元，其中：工资福利支出</w:t>
      </w:r>
      <w:r>
        <w:rPr>
          <w:rFonts w:hint="eastAsia" w:ascii="仿宋" w:hAnsi="仿宋" w:eastAsia="仿宋" w:cs="仿宋"/>
          <w:i w:val="0"/>
          <w:iCs w:val="0"/>
          <w:caps w:val="0"/>
          <w:color w:val="auto"/>
          <w:spacing w:val="0"/>
          <w:sz w:val="32"/>
          <w:szCs w:val="32"/>
          <w:highlight w:val="none"/>
          <w:vertAlign w:val="baseline"/>
          <w:lang w:val="en-US" w:eastAsia="zh-CN"/>
        </w:rPr>
        <w:t>1198.25</w:t>
      </w:r>
      <w:r>
        <w:rPr>
          <w:rFonts w:hint="eastAsia" w:ascii="仿宋" w:hAnsi="仿宋" w:eastAsia="仿宋" w:cs="仿宋"/>
          <w:i w:val="0"/>
          <w:iCs w:val="0"/>
          <w:caps w:val="0"/>
          <w:color w:val="auto"/>
          <w:spacing w:val="0"/>
          <w:sz w:val="32"/>
          <w:szCs w:val="32"/>
          <w:highlight w:val="none"/>
          <w:vertAlign w:val="baseline"/>
        </w:rPr>
        <w:t>万元，商品和服务支出</w:t>
      </w:r>
      <w:r>
        <w:rPr>
          <w:rFonts w:hint="eastAsia" w:ascii="仿宋" w:hAnsi="仿宋" w:eastAsia="仿宋" w:cs="仿宋"/>
          <w:i w:val="0"/>
          <w:iCs w:val="0"/>
          <w:caps w:val="0"/>
          <w:color w:val="auto"/>
          <w:spacing w:val="0"/>
          <w:sz w:val="32"/>
          <w:szCs w:val="32"/>
          <w:highlight w:val="none"/>
          <w:vertAlign w:val="baseline"/>
          <w:lang w:val="en-US" w:eastAsia="zh-CN"/>
        </w:rPr>
        <w:t>265.49</w:t>
      </w:r>
      <w:r>
        <w:rPr>
          <w:rFonts w:hint="eastAsia" w:ascii="仿宋" w:hAnsi="仿宋" w:eastAsia="仿宋" w:cs="仿宋"/>
          <w:i w:val="0"/>
          <w:iCs w:val="0"/>
          <w:caps w:val="0"/>
          <w:color w:val="auto"/>
          <w:spacing w:val="0"/>
          <w:sz w:val="32"/>
          <w:szCs w:val="32"/>
          <w:highlight w:val="none"/>
          <w:vertAlign w:val="baseline"/>
        </w:rPr>
        <w:t>万元，对个人和家庭的补助支出</w:t>
      </w:r>
      <w:r>
        <w:rPr>
          <w:rFonts w:hint="eastAsia" w:ascii="仿宋" w:hAnsi="仿宋" w:eastAsia="仿宋" w:cs="仿宋"/>
          <w:i w:val="0"/>
          <w:iCs w:val="0"/>
          <w:caps w:val="0"/>
          <w:color w:val="auto"/>
          <w:spacing w:val="0"/>
          <w:sz w:val="32"/>
          <w:szCs w:val="32"/>
          <w:highlight w:val="none"/>
          <w:vertAlign w:val="baseline"/>
          <w:lang w:val="en-US" w:eastAsia="zh-CN"/>
        </w:rPr>
        <w:t>73.37</w:t>
      </w:r>
      <w:r>
        <w:rPr>
          <w:rFonts w:hint="eastAsia" w:ascii="仿宋" w:hAnsi="仿宋" w:eastAsia="仿宋" w:cs="仿宋"/>
          <w:i w:val="0"/>
          <w:iCs w:val="0"/>
          <w:caps w:val="0"/>
          <w:color w:val="auto"/>
          <w:spacing w:val="0"/>
          <w:sz w:val="32"/>
          <w:szCs w:val="32"/>
          <w:highlight w:val="none"/>
          <w:vertAlign w:val="baseline"/>
        </w:rPr>
        <w:t>万元。</w:t>
      </w:r>
    </w:p>
    <w:p w14:paraId="1917F02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baseline"/>
        <w:rPr>
          <w:rFonts w:hint="default" w:ascii="仿宋" w:hAnsi="仿宋" w:eastAsia="仿宋" w:cs="仿宋"/>
          <w:i w:val="0"/>
          <w:iCs w:val="0"/>
          <w:caps w:val="0"/>
          <w:color w:val="auto"/>
          <w:spacing w:val="0"/>
          <w:sz w:val="32"/>
          <w:szCs w:val="32"/>
          <w:highlight w:val="none"/>
          <w:vertAlign w:val="baseline"/>
          <w:lang w:val="en-US" w:eastAsia="zh-CN"/>
        </w:rPr>
      </w:pPr>
      <w:r>
        <w:rPr>
          <w:rFonts w:hint="eastAsia" w:ascii="仿宋" w:hAnsi="仿宋" w:eastAsia="仿宋" w:cs="仿宋"/>
          <w:i w:val="0"/>
          <w:iCs w:val="0"/>
          <w:caps w:val="0"/>
          <w:color w:val="auto"/>
          <w:spacing w:val="0"/>
          <w:sz w:val="32"/>
          <w:szCs w:val="32"/>
          <w:highlight w:val="none"/>
          <w:vertAlign w:val="baseline"/>
          <w:lang w:val="en-US" w:eastAsia="zh-CN"/>
        </w:rPr>
        <w:t>我校在“三公”经费的使用和管理上严格按照省市公务接待、公务用车等相关政策及《怀化开放大学财务支出管理办法》执行，</w:t>
      </w:r>
      <w:r>
        <w:rPr>
          <w:rFonts w:hint="eastAsia" w:ascii="仿宋" w:hAnsi="仿宋" w:eastAsia="仿宋" w:cs="仿宋"/>
          <w:i w:val="0"/>
          <w:iCs w:val="0"/>
          <w:caps w:val="0"/>
          <w:color w:val="auto"/>
          <w:spacing w:val="0"/>
          <w:sz w:val="32"/>
          <w:szCs w:val="32"/>
          <w:highlight w:val="none"/>
          <w:vertAlign w:val="baseline"/>
        </w:rPr>
        <w:t>有效地控制了“三公”经费支出。</w:t>
      </w:r>
    </w:p>
    <w:p w14:paraId="4DB29F0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baseline"/>
        <w:rPr>
          <w:rFonts w:hint="eastAsia" w:ascii="仿宋" w:hAnsi="仿宋" w:eastAsia="仿宋" w:cs="仿宋"/>
          <w:i w:val="0"/>
          <w:iCs w:val="0"/>
          <w:caps w:val="0"/>
          <w:color w:val="auto"/>
          <w:spacing w:val="0"/>
          <w:sz w:val="32"/>
          <w:szCs w:val="32"/>
          <w:vertAlign w:val="baseline"/>
        </w:rPr>
      </w:pPr>
      <w:r>
        <w:rPr>
          <w:rFonts w:hint="eastAsia" w:ascii="仿宋" w:hAnsi="仿宋" w:eastAsia="仿宋" w:cs="仿宋"/>
          <w:i w:val="0"/>
          <w:iCs w:val="0"/>
          <w:caps w:val="0"/>
          <w:color w:val="auto"/>
          <w:spacing w:val="0"/>
          <w:sz w:val="32"/>
          <w:szCs w:val="32"/>
          <w:vertAlign w:val="baseline"/>
        </w:rPr>
        <w:t>1</w:t>
      </w:r>
      <w:r>
        <w:rPr>
          <w:rFonts w:hint="eastAsia" w:ascii="仿宋" w:hAnsi="仿宋" w:eastAsia="仿宋" w:cs="仿宋"/>
          <w:i w:val="0"/>
          <w:iCs w:val="0"/>
          <w:caps w:val="0"/>
          <w:color w:val="auto"/>
          <w:spacing w:val="0"/>
          <w:sz w:val="32"/>
          <w:szCs w:val="32"/>
          <w:vertAlign w:val="baseline"/>
          <w:lang w:val="en-US" w:eastAsia="zh-CN"/>
        </w:rPr>
        <w:t>.</w:t>
      </w:r>
      <w:r>
        <w:rPr>
          <w:rFonts w:hint="eastAsia" w:ascii="仿宋" w:hAnsi="仿宋" w:eastAsia="仿宋" w:cs="仿宋"/>
          <w:i w:val="0"/>
          <w:iCs w:val="0"/>
          <w:caps w:val="0"/>
          <w:color w:val="auto"/>
          <w:spacing w:val="0"/>
          <w:sz w:val="32"/>
          <w:szCs w:val="32"/>
          <w:vertAlign w:val="baseline"/>
        </w:rPr>
        <w:t>严格控制公务接待。我校公务接待工作按照简化礼仪、务实节俭、杜绝浪费的</w:t>
      </w:r>
      <w:r>
        <w:rPr>
          <w:rFonts w:hint="eastAsia" w:ascii="仿宋" w:hAnsi="仿宋" w:eastAsia="仿宋" w:cs="仿宋"/>
          <w:i w:val="0"/>
          <w:iCs w:val="0"/>
          <w:caps w:val="0"/>
          <w:color w:val="auto"/>
          <w:spacing w:val="0"/>
          <w:sz w:val="32"/>
          <w:szCs w:val="32"/>
          <w:highlight w:val="none"/>
          <w:vertAlign w:val="baseline"/>
        </w:rPr>
        <w:t>原则管理和规范公务接待工作，并明确接待用餐档次和限额。</w:t>
      </w:r>
      <w:r>
        <w:rPr>
          <w:rFonts w:hint="eastAsia" w:ascii="仿宋" w:hAnsi="仿宋" w:eastAsia="仿宋" w:cs="仿宋"/>
          <w:i w:val="0"/>
          <w:iCs w:val="0"/>
          <w:caps w:val="0"/>
          <w:color w:val="auto"/>
          <w:spacing w:val="0"/>
          <w:sz w:val="32"/>
          <w:szCs w:val="32"/>
          <w:highlight w:val="none"/>
          <w:vertAlign w:val="baseline"/>
          <w:lang w:val="en-US" w:eastAsia="zh-CN"/>
        </w:rPr>
        <w:t>财务人员依据经办⼈员提供的财务票据、派出单位公函、接待清单和接待单位⽹控单，完成接待费⽤报销和入账。</w:t>
      </w:r>
      <w:r>
        <w:rPr>
          <w:rFonts w:hint="eastAsia" w:ascii="仿宋" w:hAnsi="仿宋" w:eastAsia="仿宋" w:cs="仿宋"/>
          <w:i w:val="0"/>
          <w:iCs w:val="0"/>
          <w:caps w:val="0"/>
          <w:color w:val="auto"/>
          <w:spacing w:val="0"/>
          <w:sz w:val="32"/>
          <w:szCs w:val="32"/>
          <w:highlight w:val="none"/>
          <w:vertAlign w:val="baseline"/>
        </w:rPr>
        <w:t>202</w:t>
      </w:r>
      <w:r>
        <w:rPr>
          <w:rFonts w:hint="eastAsia" w:ascii="仿宋" w:hAnsi="仿宋" w:eastAsia="仿宋" w:cs="仿宋"/>
          <w:i w:val="0"/>
          <w:iCs w:val="0"/>
          <w:caps w:val="0"/>
          <w:color w:val="auto"/>
          <w:spacing w:val="0"/>
          <w:sz w:val="32"/>
          <w:szCs w:val="32"/>
          <w:vertAlign w:val="baseline"/>
          <w:lang w:val="en-US" w:eastAsia="zh-CN"/>
        </w:rPr>
        <w:t>5</w:t>
      </w:r>
      <w:r>
        <w:rPr>
          <w:rFonts w:hint="eastAsia" w:ascii="仿宋" w:hAnsi="仿宋" w:eastAsia="仿宋" w:cs="仿宋"/>
          <w:i w:val="0"/>
          <w:iCs w:val="0"/>
          <w:caps w:val="0"/>
          <w:color w:val="auto"/>
          <w:spacing w:val="0"/>
          <w:sz w:val="32"/>
          <w:szCs w:val="32"/>
          <w:vertAlign w:val="baseline"/>
        </w:rPr>
        <w:t>年我校公务接待费</w:t>
      </w:r>
      <w:r>
        <w:rPr>
          <w:rFonts w:hint="eastAsia" w:ascii="仿宋" w:hAnsi="仿宋" w:eastAsia="仿宋" w:cs="仿宋"/>
          <w:i w:val="0"/>
          <w:iCs w:val="0"/>
          <w:caps w:val="0"/>
          <w:color w:val="auto"/>
          <w:spacing w:val="0"/>
          <w:sz w:val="32"/>
          <w:szCs w:val="32"/>
          <w:vertAlign w:val="baseline"/>
          <w:lang w:val="en-US" w:eastAsia="zh-CN"/>
        </w:rPr>
        <w:t>0.3</w:t>
      </w:r>
      <w:r>
        <w:rPr>
          <w:rFonts w:hint="eastAsia" w:ascii="仿宋" w:hAnsi="仿宋" w:eastAsia="仿宋" w:cs="仿宋"/>
          <w:i w:val="0"/>
          <w:iCs w:val="0"/>
          <w:caps w:val="0"/>
          <w:color w:val="auto"/>
          <w:spacing w:val="0"/>
          <w:sz w:val="32"/>
          <w:szCs w:val="32"/>
          <w:vertAlign w:val="baseline"/>
        </w:rPr>
        <w:t>万元，较上年</w:t>
      </w:r>
      <w:r>
        <w:rPr>
          <w:rFonts w:hint="eastAsia" w:ascii="仿宋" w:hAnsi="仿宋" w:eastAsia="仿宋" w:cs="仿宋"/>
          <w:i w:val="0"/>
          <w:iCs w:val="0"/>
          <w:caps w:val="0"/>
          <w:color w:val="auto"/>
          <w:spacing w:val="0"/>
          <w:sz w:val="32"/>
          <w:szCs w:val="32"/>
          <w:vertAlign w:val="baseline"/>
          <w:lang w:val="en-US" w:eastAsia="zh-CN"/>
        </w:rPr>
        <w:t>2.11</w:t>
      </w:r>
      <w:r>
        <w:rPr>
          <w:rFonts w:hint="eastAsia" w:ascii="仿宋" w:hAnsi="仿宋" w:eastAsia="仿宋" w:cs="仿宋"/>
          <w:i w:val="0"/>
          <w:iCs w:val="0"/>
          <w:caps w:val="0"/>
          <w:color w:val="auto"/>
          <w:spacing w:val="0"/>
          <w:sz w:val="32"/>
          <w:szCs w:val="32"/>
          <w:vertAlign w:val="baseline"/>
        </w:rPr>
        <w:t>万元减少</w:t>
      </w:r>
      <w:r>
        <w:rPr>
          <w:rFonts w:hint="eastAsia" w:ascii="仿宋" w:hAnsi="仿宋" w:eastAsia="仿宋" w:cs="仿宋"/>
          <w:i w:val="0"/>
          <w:iCs w:val="0"/>
          <w:caps w:val="0"/>
          <w:color w:val="auto"/>
          <w:spacing w:val="0"/>
          <w:sz w:val="32"/>
          <w:szCs w:val="32"/>
          <w:vertAlign w:val="baseline"/>
          <w:lang w:val="en-US" w:eastAsia="zh-CN"/>
        </w:rPr>
        <w:t>1.81</w:t>
      </w:r>
      <w:r>
        <w:rPr>
          <w:rFonts w:hint="eastAsia" w:ascii="仿宋" w:hAnsi="仿宋" w:eastAsia="仿宋" w:cs="仿宋"/>
          <w:i w:val="0"/>
          <w:iCs w:val="0"/>
          <w:caps w:val="0"/>
          <w:color w:val="auto"/>
          <w:spacing w:val="0"/>
          <w:sz w:val="32"/>
          <w:szCs w:val="32"/>
          <w:vertAlign w:val="baseline"/>
        </w:rPr>
        <w:t>万元，减少比例为</w:t>
      </w:r>
      <w:r>
        <w:rPr>
          <w:rFonts w:hint="eastAsia" w:ascii="仿宋" w:hAnsi="仿宋" w:eastAsia="仿宋" w:cs="仿宋"/>
          <w:i w:val="0"/>
          <w:iCs w:val="0"/>
          <w:caps w:val="0"/>
          <w:color w:val="auto"/>
          <w:spacing w:val="0"/>
          <w:sz w:val="32"/>
          <w:szCs w:val="32"/>
          <w:vertAlign w:val="baseline"/>
          <w:lang w:val="en-US" w:eastAsia="zh-CN"/>
        </w:rPr>
        <w:t>85.78</w:t>
      </w:r>
      <w:r>
        <w:rPr>
          <w:rFonts w:hint="eastAsia" w:ascii="仿宋" w:hAnsi="仿宋" w:eastAsia="仿宋" w:cs="仿宋"/>
          <w:i w:val="0"/>
          <w:iCs w:val="0"/>
          <w:caps w:val="0"/>
          <w:color w:val="auto"/>
          <w:spacing w:val="0"/>
          <w:sz w:val="32"/>
          <w:szCs w:val="32"/>
          <w:vertAlign w:val="baseline"/>
        </w:rPr>
        <w:t>%。</w:t>
      </w:r>
    </w:p>
    <w:p w14:paraId="0820AE6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baseline"/>
        <w:rPr>
          <w:rFonts w:hint="eastAsia" w:ascii="仿宋" w:hAnsi="仿宋" w:eastAsia="仿宋" w:cs="仿宋"/>
          <w:i w:val="0"/>
          <w:iCs w:val="0"/>
          <w:caps w:val="0"/>
          <w:color w:val="auto"/>
          <w:spacing w:val="0"/>
          <w:sz w:val="32"/>
          <w:szCs w:val="32"/>
          <w:vertAlign w:val="baseline"/>
        </w:rPr>
      </w:pPr>
      <w:r>
        <w:rPr>
          <w:rFonts w:hint="eastAsia" w:ascii="仿宋" w:hAnsi="仿宋" w:eastAsia="仿宋" w:cs="仿宋"/>
          <w:i w:val="0"/>
          <w:iCs w:val="0"/>
          <w:caps w:val="0"/>
          <w:color w:val="auto"/>
          <w:spacing w:val="0"/>
          <w:sz w:val="32"/>
          <w:szCs w:val="32"/>
          <w:vertAlign w:val="baseline"/>
        </w:rPr>
        <w:t>2</w:t>
      </w:r>
      <w:r>
        <w:rPr>
          <w:rFonts w:hint="eastAsia" w:ascii="仿宋" w:hAnsi="仿宋" w:eastAsia="仿宋" w:cs="仿宋"/>
          <w:i w:val="0"/>
          <w:iCs w:val="0"/>
          <w:caps w:val="0"/>
          <w:color w:val="auto"/>
          <w:spacing w:val="0"/>
          <w:sz w:val="32"/>
          <w:szCs w:val="32"/>
          <w:vertAlign w:val="baseline"/>
          <w:lang w:val="en-US" w:eastAsia="zh-CN"/>
        </w:rPr>
        <w:t>.</w:t>
      </w:r>
      <w:r>
        <w:rPr>
          <w:rFonts w:hint="eastAsia" w:ascii="仿宋" w:hAnsi="仿宋" w:eastAsia="仿宋" w:cs="仿宋"/>
          <w:i w:val="0"/>
          <w:iCs w:val="0"/>
          <w:caps w:val="0"/>
          <w:color w:val="auto"/>
          <w:spacing w:val="0"/>
          <w:sz w:val="32"/>
          <w:szCs w:val="32"/>
          <w:vertAlign w:val="baseline"/>
        </w:rPr>
        <w:t>严格规范公务</w:t>
      </w:r>
      <w:r>
        <w:rPr>
          <w:rFonts w:hint="eastAsia" w:ascii="仿宋" w:hAnsi="仿宋" w:eastAsia="仿宋" w:cs="仿宋"/>
          <w:i w:val="0"/>
          <w:iCs w:val="0"/>
          <w:caps w:val="0"/>
          <w:color w:val="auto"/>
          <w:spacing w:val="0"/>
          <w:sz w:val="32"/>
          <w:szCs w:val="32"/>
          <w:highlight w:val="none"/>
          <w:vertAlign w:val="baseline"/>
        </w:rPr>
        <w:t>用车。</w:t>
      </w:r>
      <w:r>
        <w:rPr>
          <w:rFonts w:hint="eastAsia" w:ascii="仿宋" w:hAnsi="仿宋" w:eastAsia="仿宋" w:cs="仿宋"/>
          <w:i w:val="0"/>
          <w:iCs w:val="0"/>
          <w:caps w:val="0"/>
          <w:color w:val="auto"/>
          <w:spacing w:val="0"/>
          <w:sz w:val="32"/>
          <w:szCs w:val="32"/>
          <w:highlight w:val="none"/>
          <w:vertAlign w:val="baseline"/>
          <w:lang w:val="en-US" w:eastAsia="zh-CN"/>
        </w:rPr>
        <w:t>学校严格执行省市公务用车相关政策规定，</w:t>
      </w:r>
      <w:r>
        <w:rPr>
          <w:rFonts w:hint="eastAsia" w:ascii="仿宋" w:hAnsi="仿宋" w:eastAsia="仿宋" w:cs="仿宋"/>
          <w:i w:val="0"/>
          <w:iCs w:val="0"/>
          <w:caps w:val="0"/>
          <w:color w:val="auto"/>
          <w:spacing w:val="0"/>
          <w:sz w:val="32"/>
          <w:szCs w:val="32"/>
          <w:highlight w:val="none"/>
          <w:vertAlign w:val="baseline"/>
        </w:rPr>
        <w:t>车辆的保险和维修必须到政府采购指定保险公司购买和厂家维修；车辆</w:t>
      </w:r>
      <w:r>
        <w:rPr>
          <w:rFonts w:hint="eastAsia" w:ascii="仿宋" w:hAnsi="仿宋" w:eastAsia="仿宋" w:cs="仿宋"/>
          <w:i w:val="0"/>
          <w:iCs w:val="0"/>
          <w:caps w:val="0"/>
          <w:color w:val="auto"/>
          <w:spacing w:val="0"/>
          <w:sz w:val="32"/>
          <w:szCs w:val="32"/>
          <w:vertAlign w:val="baseline"/>
        </w:rPr>
        <w:t>汽油费必须统一用加油卡、公务卡结算，不得报销任何零星汽油费；车辆过路费必须</w:t>
      </w:r>
      <w:r>
        <w:rPr>
          <w:rFonts w:hint="eastAsia" w:ascii="仿宋" w:hAnsi="仿宋" w:eastAsia="仿宋" w:cs="仿宋"/>
          <w:i w:val="0"/>
          <w:iCs w:val="0"/>
          <w:caps w:val="0"/>
          <w:color w:val="auto"/>
          <w:spacing w:val="0"/>
          <w:sz w:val="32"/>
          <w:szCs w:val="32"/>
          <w:vertAlign w:val="baseline"/>
          <w:lang w:val="en-US" w:eastAsia="zh-CN"/>
        </w:rPr>
        <w:t>与</w:t>
      </w:r>
      <w:r>
        <w:rPr>
          <w:rFonts w:hint="eastAsia" w:ascii="仿宋" w:hAnsi="仿宋" w:eastAsia="仿宋" w:cs="仿宋"/>
          <w:i w:val="0"/>
          <w:iCs w:val="0"/>
          <w:caps w:val="0"/>
          <w:color w:val="auto"/>
          <w:spacing w:val="0"/>
          <w:sz w:val="32"/>
          <w:szCs w:val="32"/>
          <w:vertAlign w:val="baseline"/>
        </w:rPr>
        <w:t>差旅费一同报</w:t>
      </w:r>
      <w:r>
        <w:rPr>
          <w:rFonts w:hint="eastAsia" w:ascii="仿宋" w:hAnsi="仿宋" w:eastAsia="仿宋" w:cs="仿宋"/>
          <w:i w:val="0"/>
          <w:iCs w:val="0"/>
          <w:caps w:val="0"/>
          <w:color w:val="auto"/>
          <w:spacing w:val="0"/>
          <w:sz w:val="32"/>
          <w:szCs w:val="32"/>
          <w:highlight w:val="none"/>
          <w:vertAlign w:val="baseline"/>
        </w:rPr>
        <w:t>销。</w:t>
      </w:r>
      <w:r>
        <w:rPr>
          <w:rFonts w:hint="eastAsia" w:ascii="仿宋" w:hAnsi="仿宋" w:eastAsia="仿宋" w:cs="仿宋"/>
          <w:i w:val="0"/>
          <w:iCs w:val="0"/>
          <w:caps w:val="0"/>
          <w:color w:val="auto"/>
          <w:spacing w:val="0"/>
          <w:sz w:val="32"/>
          <w:szCs w:val="32"/>
          <w:highlight w:val="none"/>
          <w:vertAlign w:val="baseline"/>
          <w:lang w:val="en-US" w:eastAsia="zh-CN"/>
        </w:rPr>
        <w:t>因公车故障未使用，</w:t>
      </w:r>
      <w:r>
        <w:rPr>
          <w:rFonts w:hint="eastAsia" w:ascii="仿宋" w:hAnsi="仿宋" w:eastAsia="仿宋" w:cs="仿宋"/>
          <w:i w:val="0"/>
          <w:iCs w:val="0"/>
          <w:caps w:val="0"/>
          <w:color w:val="auto"/>
          <w:spacing w:val="0"/>
          <w:sz w:val="32"/>
          <w:szCs w:val="32"/>
          <w:highlight w:val="none"/>
          <w:vertAlign w:val="baseline"/>
        </w:rPr>
        <w:t>202</w:t>
      </w:r>
      <w:r>
        <w:rPr>
          <w:rFonts w:hint="eastAsia" w:ascii="仿宋" w:hAnsi="仿宋" w:eastAsia="仿宋" w:cs="仿宋"/>
          <w:i w:val="0"/>
          <w:iCs w:val="0"/>
          <w:caps w:val="0"/>
          <w:color w:val="auto"/>
          <w:spacing w:val="0"/>
          <w:sz w:val="32"/>
          <w:szCs w:val="32"/>
          <w:highlight w:val="none"/>
          <w:vertAlign w:val="baseline"/>
          <w:lang w:val="en-US" w:eastAsia="zh-CN"/>
        </w:rPr>
        <w:t>5</w:t>
      </w:r>
      <w:r>
        <w:rPr>
          <w:rFonts w:hint="eastAsia" w:ascii="仿宋" w:hAnsi="仿宋" w:eastAsia="仿宋" w:cs="仿宋"/>
          <w:i w:val="0"/>
          <w:iCs w:val="0"/>
          <w:caps w:val="0"/>
          <w:color w:val="auto"/>
          <w:spacing w:val="0"/>
          <w:sz w:val="32"/>
          <w:szCs w:val="32"/>
          <w:highlight w:val="none"/>
          <w:vertAlign w:val="baseline"/>
        </w:rPr>
        <w:t>年</w:t>
      </w:r>
      <w:r>
        <w:rPr>
          <w:rFonts w:hint="eastAsia" w:ascii="仿宋" w:hAnsi="仿宋" w:eastAsia="仿宋" w:cs="仿宋"/>
          <w:i w:val="0"/>
          <w:iCs w:val="0"/>
          <w:caps w:val="0"/>
          <w:color w:val="auto"/>
          <w:spacing w:val="0"/>
          <w:sz w:val="32"/>
          <w:szCs w:val="32"/>
          <w:vertAlign w:val="baseline"/>
        </w:rPr>
        <w:t>我校公务用车运行维护费0万元，与上年持平。</w:t>
      </w:r>
    </w:p>
    <w:p w14:paraId="29AEC23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baseline"/>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i w:val="0"/>
          <w:iCs w:val="0"/>
          <w:caps w:val="0"/>
          <w:color w:val="auto"/>
          <w:spacing w:val="0"/>
          <w:sz w:val="32"/>
          <w:szCs w:val="32"/>
          <w:vertAlign w:val="baseline"/>
        </w:rPr>
        <w:t>3</w:t>
      </w:r>
      <w:r>
        <w:rPr>
          <w:rFonts w:hint="eastAsia" w:ascii="仿宋" w:hAnsi="仿宋" w:eastAsia="仿宋" w:cs="仿宋"/>
          <w:i w:val="0"/>
          <w:iCs w:val="0"/>
          <w:caps w:val="0"/>
          <w:color w:val="auto"/>
          <w:spacing w:val="0"/>
          <w:sz w:val="32"/>
          <w:szCs w:val="32"/>
          <w:vertAlign w:val="baseline"/>
          <w:lang w:val="en-US" w:eastAsia="zh-CN"/>
        </w:rPr>
        <w:t>.</w:t>
      </w:r>
      <w:r>
        <w:rPr>
          <w:rFonts w:hint="eastAsia" w:ascii="仿宋" w:hAnsi="仿宋" w:eastAsia="仿宋" w:cs="仿宋"/>
          <w:i w:val="0"/>
          <w:iCs w:val="0"/>
          <w:caps w:val="0"/>
          <w:color w:val="auto"/>
          <w:spacing w:val="0"/>
          <w:sz w:val="32"/>
          <w:szCs w:val="32"/>
          <w:vertAlign w:val="baseline"/>
        </w:rPr>
        <w:t>严格控制公务出国（境）费。202</w:t>
      </w:r>
      <w:r>
        <w:rPr>
          <w:rFonts w:hint="eastAsia" w:ascii="仿宋" w:hAnsi="仿宋" w:eastAsia="仿宋" w:cs="仿宋"/>
          <w:i w:val="0"/>
          <w:iCs w:val="0"/>
          <w:caps w:val="0"/>
          <w:color w:val="auto"/>
          <w:spacing w:val="0"/>
          <w:sz w:val="32"/>
          <w:szCs w:val="32"/>
          <w:vertAlign w:val="baseline"/>
          <w:lang w:val="en-US" w:eastAsia="zh-CN"/>
        </w:rPr>
        <w:t>5</w:t>
      </w:r>
      <w:r>
        <w:rPr>
          <w:rFonts w:hint="eastAsia" w:ascii="仿宋" w:hAnsi="仿宋" w:eastAsia="仿宋" w:cs="仿宋"/>
          <w:i w:val="0"/>
          <w:iCs w:val="0"/>
          <w:caps w:val="0"/>
          <w:color w:val="auto"/>
          <w:spacing w:val="0"/>
          <w:sz w:val="32"/>
          <w:szCs w:val="32"/>
          <w:vertAlign w:val="baseline"/>
        </w:rPr>
        <w:t>年我校出国（境）费为0万元。</w:t>
      </w:r>
    </w:p>
    <w:p w14:paraId="676386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14:paraId="5278092A">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i w:val="0"/>
          <w:iCs w:val="0"/>
          <w:caps w:val="0"/>
          <w:color w:val="auto"/>
          <w:spacing w:val="0"/>
          <w:sz w:val="32"/>
          <w:szCs w:val="32"/>
          <w:shd w:val="clear" w:fill="FFFFFF"/>
        </w:rPr>
        <w:t>202</w:t>
      </w:r>
      <w:r>
        <w:rPr>
          <w:rFonts w:hint="eastAsia" w:ascii="仿宋" w:hAnsi="仿宋" w:eastAsia="仿宋" w:cs="仿宋"/>
          <w:i w:val="0"/>
          <w:iCs w:val="0"/>
          <w:caps w:val="0"/>
          <w:color w:val="auto"/>
          <w:spacing w:val="0"/>
          <w:sz w:val="32"/>
          <w:szCs w:val="32"/>
          <w:highlight w:val="none"/>
          <w:shd w:val="clear" w:fill="FFFFFF"/>
          <w:lang w:val="en-US" w:eastAsia="zh-CN"/>
        </w:rPr>
        <w:t>5</w:t>
      </w:r>
      <w:r>
        <w:rPr>
          <w:rFonts w:hint="eastAsia" w:ascii="仿宋" w:hAnsi="仿宋" w:eastAsia="仿宋" w:cs="仿宋"/>
          <w:i w:val="0"/>
          <w:iCs w:val="0"/>
          <w:caps w:val="0"/>
          <w:color w:val="auto"/>
          <w:spacing w:val="0"/>
          <w:sz w:val="32"/>
          <w:szCs w:val="32"/>
          <w:highlight w:val="none"/>
          <w:shd w:val="clear" w:fill="FFFFFF"/>
        </w:rPr>
        <w:t>年度我</w:t>
      </w:r>
      <w:r>
        <w:rPr>
          <w:rFonts w:hint="eastAsia" w:ascii="仿宋" w:hAnsi="仿宋" w:eastAsia="仿宋" w:cs="仿宋"/>
          <w:i w:val="0"/>
          <w:iCs w:val="0"/>
          <w:caps w:val="0"/>
          <w:color w:val="auto"/>
          <w:spacing w:val="0"/>
          <w:sz w:val="32"/>
          <w:szCs w:val="32"/>
          <w:highlight w:val="none"/>
          <w:shd w:val="clear" w:fill="FFFFFF"/>
          <w:lang w:val="en-US" w:eastAsia="zh-CN"/>
        </w:rPr>
        <w:t>校项</w:t>
      </w:r>
      <w:r>
        <w:rPr>
          <w:rFonts w:hint="eastAsia" w:ascii="仿宋" w:hAnsi="仿宋" w:eastAsia="仿宋" w:cs="仿宋"/>
          <w:i w:val="0"/>
          <w:iCs w:val="0"/>
          <w:caps w:val="0"/>
          <w:color w:val="auto"/>
          <w:spacing w:val="0"/>
          <w:sz w:val="32"/>
          <w:szCs w:val="32"/>
          <w:highlight w:val="none"/>
          <w:shd w:val="clear" w:fill="FFFFFF"/>
          <w:lang w:val="en-US" w:eastAsia="zh-CN"/>
        </w:rPr>
        <w:t>目</w:t>
      </w:r>
      <w:r>
        <w:rPr>
          <w:rFonts w:hint="eastAsia" w:ascii="仿宋" w:hAnsi="仿宋" w:eastAsia="仿宋" w:cs="仿宋"/>
          <w:i w:val="0"/>
          <w:iCs w:val="0"/>
          <w:caps w:val="0"/>
          <w:color w:val="auto"/>
          <w:spacing w:val="0"/>
          <w:sz w:val="32"/>
          <w:szCs w:val="32"/>
          <w:highlight w:val="none"/>
          <w:shd w:val="clear" w:fill="FFFFFF"/>
        </w:rPr>
        <w:t>经费共</w:t>
      </w:r>
      <w:r>
        <w:rPr>
          <w:rFonts w:hint="eastAsia" w:ascii="仿宋" w:hAnsi="仿宋" w:eastAsia="仿宋" w:cs="仿宋"/>
          <w:i w:val="0"/>
          <w:iCs w:val="0"/>
          <w:caps w:val="0"/>
          <w:color w:val="auto"/>
          <w:spacing w:val="0"/>
          <w:sz w:val="32"/>
          <w:szCs w:val="32"/>
          <w:highlight w:val="none"/>
          <w:shd w:val="clear" w:fill="FFFFFF"/>
          <w:lang w:val="en-US" w:eastAsia="zh-CN"/>
        </w:rPr>
        <w:t>4</w:t>
      </w:r>
      <w:r>
        <w:rPr>
          <w:rFonts w:hint="eastAsia" w:ascii="仿宋" w:hAnsi="仿宋" w:eastAsia="仿宋" w:cs="仿宋"/>
          <w:i w:val="0"/>
          <w:iCs w:val="0"/>
          <w:caps w:val="0"/>
          <w:color w:val="auto"/>
          <w:spacing w:val="0"/>
          <w:sz w:val="32"/>
          <w:szCs w:val="32"/>
          <w:highlight w:val="none"/>
          <w:shd w:val="clear" w:fill="FFFFFF"/>
        </w:rPr>
        <w:t>项，</w:t>
      </w:r>
      <w:r>
        <w:rPr>
          <w:rFonts w:hint="eastAsia" w:ascii="仿宋" w:hAnsi="仿宋" w:eastAsia="仿宋" w:cs="仿宋"/>
          <w:i w:val="0"/>
          <w:iCs w:val="0"/>
          <w:caps w:val="0"/>
          <w:color w:val="auto"/>
          <w:spacing w:val="0"/>
          <w:sz w:val="32"/>
          <w:szCs w:val="32"/>
          <w:highlight w:val="none"/>
          <w:shd w:val="clear" w:fill="FFFFFF"/>
          <w:lang w:val="en-US" w:eastAsia="zh-CN"/>
        </w:rPr>
        <w:t>年初预算1065.69万元，</w:t>
      </w:r>
      <w:r>
        <w:rPr>
          <w:rFonts w:hint="eastAsia" w:ascii="仿宋" w:hAnsi="仿宋" w:eastAsia="仿宋" w:cs="仿宋"/>
          <w:i w:val="0"/>
          <w:iCs w:val="0"/>
          <w:caps w:val="0"/>
          <w:color w:val="auto"/>
          <w:spacing w:val="0"/>
          <w:sz w:val="32"/>
          <w:szCs w:val="32"/>
          <w:highlight w:val="none"/>
          <w:shd w:val="clear" w:fill="FFFFFF"/>
        </w:rPr>
        <w:t>实际收到</w:t>
      </w:r>
      <w:r>
        <w:rPr>
          <w:rFonts w:hint="eastAsia" w:ascii="仿宋" w:hAnsi="仿宋" w:eastAsia="仿宋" w:cs="仿宋"/>
          <w:i w:val="0"/>
          <w:iCs w:val="0"/>
          <w:caps w:val="0"/>
          <w:color w:val="auto"/>
          <w:spacing w:val="0"/>
          <w:sz w:val="32"/>
          <w:szCs w:val="32"/>
          <w:highlight w:val="none"/>
          <w:shd w:val="clear" w:fill="FFFFFF"/>
          <w:lang w:val="en-US" w:eastAsia="zh-CN"/>
        </w:rPr>
        <w:t>项目</w:t>
      </w:r>
      <w:r>
        <w:rPr>
          <w:rFonts w:hint="eastAsia" w:ascii="仿宋" w:hAnsi="仿宋" w:eastAsia="仿宋" w:cs="仿宋"/>
          <w:i w:val="0"/>
          <w:iCs w:val="0"/>
          <w:caps w:val="0"/>
          <w:color w:val="auto"/>
          <w:spacing w:val="0"/>
          <w:sz w:val="32"/>
          <w:szCs w:val="32"/>
          <w:highlight w:val="none"/>
          <w:shd w:val="clear" w:fill="FFFFFF"/>
        </w:rPr>
        <w:t>资金</w:t>
      </w:r>
      <w:r>
        <w:rPr>
          <w:rFonts w:hint="eastAsia" w:ascii="仿宋" w:hAnsi="仿宋" w:eastAsia="仿宋" w:cs="仿宋"/>
          <w:i w:val="0"/>
          <w:iCs w:val="0"/>
          <w:caps w:val="0"/>
          <w:color w:val="auto"/>
          <w:spacing w:val="0"/>
          <w:sz w:val="32"/>
          <w:szCs w:val="32"/>
          <w:highlight w:val="none"/>
          <w:shd w:val="clear" w:fill="FFFFFF"/>
          <w:lang w:val="en-US" w:eastAsia="zh-CN"/>
        </w:rPr>
        <w:t>325.87</w:t>
      </w:r>
      <w:r>
        <w:rPr>
          <w:rFonts w:hint="eastAsia" w:ascii="仿宋" w:hAnsi="仿宋" w:eastAsia="仿宋" w:cs="仿宋"/>
          <w:i w:val="0"/>
          <w:iCs w:val="0"/>
          <w:caps w:val="0"/>
          <w:color w:val="auto"/>
          <w:spacing w:val="0"/>
          <w:sz w:val="32"/>
          <w:szCs w:val="32"/>
          <w:highlight w:val="none"/>
          <w:shd w:val="clear" w:fill="FFFFFF"/>
        </w:rPr>
        <w:t>万元,预算资金到位率</w:t>
      </w:r>
      <w:r>
        <w:rPr>
          <w:rFonts w:hint="eastAsia" w:ascii="仿宋" w:hAnsi="仿宋" w:eastAsia="仿宋" w:cs="仿宋"/>
          <w:i w:val="0"/>
          <w:iCs w:val="0"/>
          <w:caps w:val="0"/>
          <w:color w:val="auto"/>
          <w:spacing w:val="0"/>
          <w:sz w:val="32"/>
          <w:szCs w:val="32"/>
          <w:highlight w:val="none"/>
          <w:shd w:val="clear" w:fill="FFFFFF"/>
          <w:lang w:val="en-US" w:eastAsia="zh-CN"/>
        </w:rPr>
        <w:t>30.58%</w:t>
      </w:r>
      <w:r>
        <w:rPr>
          <w:rFonts w:hint="eastAsia" w:ascii="仿宋" w:hAnsi="仿宋" w:eastAsia="仿宋" w:cs="仿宋"/>
          <w:i w:val="0"/>
          <w:iCs w:val="0"/>
          <w:caps w:val="0"/>
          <w:color w:val="auto"/>
          <w:spacing w:val="0"/>
          <w:sz w:val="32"/>
          <w:szCs w:val="32"/>
          <w:highlight w:val="none"/>
          <w:shd w:val="clear" w:fill="FFFFFF"/>
          <w:lang w:eastAsia="zh-CN"/>
        </w:rPr>
        <w:t>。</w:t>
      </w:r>
      <w:r>
        <w:rPr>
          <w:rFonts w:hint="eastAsia" w:ascii="仿宋" w:hAnsi="仿宋" w:eastAsia="仿宋" w:cs="仿宋"/>
          <w:i w:val="0"/>
          <w:iCs w:val="0"/>
          <w:caps w:val="0"/>
          <w:color w:val="auto"/>
          <w:spacing w:val="0"/>
          <w:sz w:val="32"/>
          <w:szCs w:val="32"/>
          <w:highlight w:val="none"/>
          <w:shd w:val="clear" w:fill="FFFFFF"/>
        </w:rPr>
        <w:t>其中:</w:t>
      </w:r>
      <w:r>
        <w:rPr>
          <w:rFonts w:hint="eastAsia" w:ascii="仿宋" w:hAnsi="仿宋" w:eastAsia="仿宋" w:cs="仿宋"/>
          <w:i w:val="0"/>
          <w:iCs w:val="0"/>
          <w:caps w:val="0"/>
          <w:color w:val="auto"/>
          <w:spacing w:val="0"/>
          <w:sz w:val="32"/>
          <w:szCs w:val="32"/>
          <w:highlight w:val="none"/>
          <w:shd w:val="clear" w:fill="FFFFFF"/>
          <w:lang w:val="en-US" w:eastAsia="zh-CN"/>
        </w:rPr>
        <w:t>社区教育专项经费年初</w:t>
      </w:r>
      <w:r>
        <w:rPr>
          <w:rFonts w:hint="eastAsia" w:ascii="仿宋" w:hAnsi="仿宋" w:eastAsia="仿宋" w:cs="仿宋"/>
          <w:i w:val="0"/>
          <w:iCs w:val="0"/>
          <w:caps w:val="0"/>
          <w:color w:val="auto"/>
          <w:spacing w:val="0"/>
          <w:sz w:val="32"/>
          <w:szCs w:val="32"/>
          <w:highlight w:val="none"/>
          <w:shd w:val="clear" w:fill="FFFFFF"/>
          <w:lang w:val="en-US" w:eastAsia="zh-CN"/>
        </w:rPr>
        <w:t>预算25万元，实际到位25万元，预算资金到位率100%；</w:t>
      </w:r>
      <w:r>
        <w:rPr>
          <w:rFonts w:hint="eastAsia" w:ascii="仿宋" w:hAnsi="仿宋" w:eastAsia="仿宋" w:cs="仿宋"/>
          <w:i w:val="0"/>
          <w:iCs w:val="0"/>
          <w:caps w:val="0"/>
          <w:color w:val="auto"/>
          <w:spacing w:val="0"/>
          <w:sz w:val="32"/>
          <w:szCs w:val="32"/>
          <w:highlight w:val="none"/>
          <w:shd w:val="clear" w:fill="FFFFFF"/>
          <w:lang w:val="en-US" w:eastAsia="zh-CN"/>
        </w:rPr>
        <w:t>办公设备购置年初</w:t>
      </w:r>
      <w:r>
        <w:rPr>
          <w:rFonts w:hint="eastAsia" w:ascii="仿宋" w:hAnsi="仿宋" w:eastAsia="仿宋" w:cs="仿宋"/>
          <w:i w:val="0"/>
          <w:iCs w:val="0"/>
          <w:caps w:val="0"/>
          <w:color w:val="auto"/>
          <w:spacing w:val="0"/>
          <w:sz w:val="32"/>
          <w:szCs w:val="32"/>
          <w:highlight w:val="none"/>
          <w:shd w:val="clear" w:fill="FFFFFF"/>
          <w:lang w:val="en-US" w:eastAsia="zh-CN"/>
        </w:rPr>
        <w:t>预算187.17</w:t>
      </w:r>
      <w:r>
        <w:rPr>
          <w:rFonts w:hint="eastAsia" w:ascii="仿宋" w:hAnsi="仿宋" w:eastAsia="仿宋" w:cs="仿宋"/>
          <w:i w:val="0"/>
          <w:iCs w:val="0"/>
          <w:caps w:val="0"/>
          <w:color w:val="auto"/>
          <w:spacing w:val="0"/>
          <w:sz w:val="32"/>
          <w:szCs w:val="32"/>
          <w:highlight w:val="none"/>
          <w:shd w:val="clear" w:fill="FFFFFF"/>
        </w:rPr>
        <w:t>万元，实际到位</w:t>
      </w:r>
      <w:r>
        <w:rPr>
          <w:rFonts w:hint="eastAsia" w:ascii="仿宋" w:hAnsi="仿宋" w:eastAsia="仿宋" w:cs="仿宋"/>
          <w:i w:val="0"/>
          <w:iCs w:val="0"/>
          <w:caps w:val="0"/>
          <w:color w:val="auto"/>
          <w:spacing w:val="0"/>
          <w:sz w:val="32"/>
          <w:szCs w:val="32"/>
          <w:highlight w:val="none"/>
          <w:shd w:val="clear" w:fill="FFFFFF"/>
          <w:lang w:val="en-US" w:eastAsia="zh-CN"/>
        </w:rPr>
        <w:t>2.92</w:t>
      </w:r>
      <w:r>
        <w:rPr>
          <w:rFonts w:hint="eastAsia" w:ascii="仿宋" w:hAnsi="仿宋" w:eastAsia="仿宋" w:cs="仿宋"/>
          <w:i w:val="0"/>
          <w:iCs w:val="0"/>
          <w:caps w:val="0"/>
          <w:color w:val="auto"/>
          <w:spacing w:val="0"/>
          <w:sz w:val="32"/>
          <w:szCs w:val="32"/>
          <w:highlight w:val="none"/>
          <w:shd w:val="clear" w:fill="FFFFFF"/>
        </w:rPr>
        <w:t>万元，预算资金到位率</w:t>
      </w:r>
      <w:r>
        <w:rPr>
          <w:rFonts w:hint="eastAsia" w:ascii="仿宋" w:hAnsi="仿宋" w:eastAsia="仿宋" w:cs="仿宋"/>
          <w:i w:val="0"/>
          <w:iCs w:val="0"/>
          <w:caps w:val="0"/>
          <w:color w:val="auto"/>
          <w:spacing w:val="0"/>
          <w:sz w:val="32"/>
          <w:szCs w:val="32"/>
          <w:highlight w:val="none"/>
          <w:shd w:val="clear" w:fill="FFFFFF"/>
          <w:lang w:val="en-US" w:eastAsia="zh-CN"/>
        </w:rPr>
        <w:t>1.56%</w:t>
      </w:r>
      <w:r>
        <w:rPr>
          <w:rFonts w:hint="eastAsia" w:ascii="仿宋" w:hAnsi="仿宋" w:eastAsia="仿宋" w:cs="仿宋"/>
          <w:i w:val="0"/>
          <w:iCs w:val="0"/>
          <w:caps w:val="0"/>
          <w:color w:val="auto"/>
          <w:spacing w:val="0"/>
          <w:sz w:val="32"/>
          <w:szCs w:val="32"/>
          <w:highlight w:val="none"/>
          <w:shd w:val="clear" w:fill="FFFFFF"/>
        </w:rPr>
        <w:t>；</w:t>
      </w:r>
      <w:r>
        <w:rPr>
          <w:rFonts w:hint="eastAsia" w:ascii="仿宋" w:hAnsi="仿宋" w:eastAsia="仿宋" w:cs="仿宋"/>
          <w:i w:val="0"/>
          <w:iCs w:val="0"/>
          <w:caps w:val="0"/>
          <w:color w:val="auto"/>
          <w:spacing w:val="0"/>
          <w:sz w:val="32"/>
          <w:szCs w:val="32"/>
          <w:highlight w:val="none"/>
          <w:shd w:val="clear" w:fill="FFFFFF"/>
          <w:lang w:val="en-US" w:eastAsia="zh-CN"/>
        </w:rPr>
        <w:t>办学经费支出年初</w:t>
      </w:r>
      <w:r>
        <w:rPr>
          <w:rFonts w:hint="eastAsia" w:ascii="仿宋" w:hAnsi="仿宋" w:eastAsia="仿宋" w:cs="仿宋"/>
          <w:i w:val="0"/>
          <w:iCs w:val="0"/>
          <w:caps w:val="0"/>
          <w:color w:val="auto"/>
          <w:spacing w:val="0"/>
          <w:sz w:val="32"/>
          <w:szCs w:val="32"/>
          <w:highlight w:val="none"/>
          <w:shd w:val="clear" w:fill="FFFFFF"/>
          <w:lang w:val="en-US" w:eastAsia="zh-CN"/>
        </w:rPr>
        <w:t>预算353.52</w:t>
      </w:r>
      <w:r>
        <w:rPr>
          <w:rFonts w:hint="eastAsia" w:ascii="仿宋" w:hAnsi="仿宋" w:eastAsia="仿宋" w:cs="仿宋"/>
          <w:i w:val="0"/>
          <w:iCs w:val="0"/>
          <w:caps w:val="0"/>
          <w:color w:val="auto"/>
          <w:spacing w:val="0"/>
          <w:sz w:val="32"/>
          <w:szCs w:val="32"/>
          <w:highlight w:val="none"/>
          <w:shd w:val="clear" w:fill="FFFFFF"/>
          <w:lang w:val="en-US" w:eastAsia="zh-CN"/>
        </w:rPr>
        <w:t>万元，实际到位15.75万元，预算资金到位率4.46%</w:t>
      </w:r>
      <w:r>
        <w:rPr>
          <w:rFonts w:hint="eastAsia" w:ascii="仿宋" w:hAnsi="仿宋" w:eastAsia="仿宋" w:cs="仿宋"/>
          <w:i w:val="0"/>
          <w:iCs w:val="0"/>
          <w:caps w:val="0"/>
          <w:color w:val="auto"/>
          <w:spacing w:val="0"/>
          <w:sz w:val="32"/>
          <w:szCs w:val="32"/>
          <w:highlight w:val="none"/>
          <w:shd w:val="clear" w:fill="FFFFFF"/>
          <w:lang w:val="en-US" w:eastAsia="zh-CN"/>
        </w:rPr>
        <w:t>；上交省校各项费用年初</w:t>
      </w:r>
      <w:r>
        <w:rPr>
          <w:rFonts w:hint="eastAsia" w:ascii="仿宋" w:hAnsi="仿宋" w:eastAsia="仿宋" w:cs="仿宋"/>
          <w:i w:val="0"/>
          <w:iCs w:val="0"/>
          <w:caps w:val="0"/>
          <w:color w:val="auto"/>
          <w:spacing w:val="0"/>
          <w:sz w:val="32"/>
          <w:szCs w:val="32"/>
          <w:highlight w:val="none"/>
          <w:shd w:val="clear" w:fill="FFFFFF"/>
          <w:lang w:val="en-US" w:eastAsia="zh-CN"/>
        </w:rPr>
        <w:t>预算500</w:t>
      </w:r>
      <w:r>
        <w:rPr>
          <w:rFonts w:hint="eastAsia" w:ascii="仿宋" w:hAnsi="仿宋" w:eastAsia="仿宋" w:cs="仿宋"/>
          <w:i w:val="0"/>
          <w:iCs w:val="0"/>
          <w:caps w:val="0"/>
          <w:color w:val="auto"/>
          <w:spacing w:val="0"/>
          <w:sz w:val="32"/>
          <w:szCs w:val="32"/>
          <w:highlight w:val="none"/>
          <w:shd w:val="clear" w:fill="FFFFFF"/>
        </w:rPr>
        <w:t>万元，实际到位</w:t>
      </w:r>
      <w:r>
        <w:rPr>
          <w:rFonts w:hint="eastAsia" w:ascii="仿宋" w:hAnsi="仿宋" w:eastAsia="仿宋" w:cs="仿宋"/>
          <w:i w:val="0"/>
          <w:iCs w:val="0"/>
          <w:caps w:val="0"/>
          <w:color w:val="auto"/>
          <w:spacing w:val="0"/>
          <w:sz w:val="32"/>
          <w:szCs w:val="32"/>
          <w:highlight w:val="none"/>
          <w:shd w:val="clear" w:fill="FFFFFF"/>
          <w:lang w:val="en-US" w:eastAsia="zh-CN"/>
        </w:rPr>
        <w:t>282.2</w:t>
      </w:r>
      <w:r>
        <w:rPr>
          <w:rFonts w:hint="eastAsia" w:ascii="仿宋" w:hAnsi="仿宋" w:eastAsia="仿宋" w:cs="仿宋"/>
          <w:i w:val="0"/>
          <w:iCs w:val="0"/>
          <w:caps w:val="0"/>
          <w:color w:val="auto"/>
          <w:spacing w:val="0"/>
          <w:sz w:val="32"/>
          <w:szCs w:val="32"/>
          <w:highlight w:val="none"/>
          <w:shd w:val="clear" w:fill="FFFFFF"/>
        </w:rPr>
        <w:t>万元，预算资金到位率</w:t>
      </w:r>
      <w:r>
        <w:rPr>
          <w:rFonts w:hint="eastAsia" w:ascii="仿宋" w:hAnsi="仿宋" w:eastAsia="仿宋" w:cs="仿宋"/>
          <w:i w:val="0"/>
          <w:iCs w:val="0"/>
          <w:caps w:val="0"/>
          <w:color w:val="auto"/>
          <w:spacing w:val="0"/>
          <w:sz w:val="32"/>
          <w:szCs w:val="32"/>
          <w:highlight w:val="none"/>
          <w:shd w:val="clear" w:fill="FFFFFF"/>
          <w:lang w:val="en-US" w:eastAsia="zh-CN"/>
        </w:rPr>
        <w:t>56.44%</w:t>
      </w:r>
      <w:r>
        <w:rPr>
          <w:rFonts w:hint="eastAsia" w:ascii="仿宋" w:hAnsi="仿宋" w:eastAsia="仿宋" w:cs="仿宋"/>
          <w:i w:val="0"/>
          <w:iCs w:val="0"/>
          <w:caps w:val="0"/>
          <w:color w:val="auto"/>
          <w:spacing w:val="0"/>
          <w:sz w:val="32"/>
          <w:szCs w:val="32"/>
          <w:highlight w:val="none"/>
          <w:shd w:val="clear" w:fill="FFFFFF"/>
          <w:lang w:eastAsia="zh-CN"/>
        </w:rPr>
        <w:t>。</w:t>
      </w:r>
    </w:p>
    <w:p w14:paraId="1F94C08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kern w:val="2"/>
          <w:sz w:val="32"/>
          <w:szCs w:val="32"/>
          <w:lang w:val="en-US" w:eastAsia="zh-CN" w:bidi="ar-SA"/>
        </w:rPr>
        <w:t>2、</w:t>
      </w:r>
      <w:r>
        <w:rPr>
          <w:rFonts w:hint="default" w:ascii="Times New Roman Regular" w:hAnsi="Times New Roman Regular" w:eastAsia="仿宋_GB2312" w:cs="Times New Roman Regular"/>
          <w:color w:val="auto"/>
          <w:sz w:val="32"/>
          <w:szCs w:val="32"/>
          <w:highlight w:val="none"/>
          <w:lang w:val="en-US" w:eastAsia="zh-CN"/>
        </w:rPr>
        <w:t>项目资金（主要指财政资金）实际使用情况分析。</w:t>
      </w:r>
    </w:p>
    <w:p w14:paraId="0CC004A9">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i w:val="0"/>
          <w:iCs w:val="0"/>
          <w:caps w:val="0"/>
          <w:color w:val="auto"/>
          <w:spacing w:val="0"/>
          <w:sz w:val="32"/>
          <w:szCs w:val="32"/>
          <w:shd w:val="clear" w:fill="FFFFFF"/>
        </w:rPr>
        <w:t>202</w:t>
      </w:r>
      <w:r>
        <w:rPr>
          <w:rFonts w:hint="eastAsia" w:ascii="仿宋" w:hAnsi="仿宋" w:eastAsia="仿宋" w:cs="仿宋"/>
          <w:i w:val="0"/>
          <w:iCs w:val="0"/>
          <w:caps w:val="0"/>
          <w:color w:val="auto"/>
          <w:spacing w:val="0"/>
          <w:sz w:val="32"/>
          <w:szCs w:val="32"/>
          <w:shd w:val="clear" w:fill="FFFFFF"/>
          <w:lang w:val="en-US" w:eastAsia="zh-CN"/>
        </w:rPr>
        <w:t>5</w:t>
      </w:r>
      <w:r>
        <w:rPr>
          <w:rFonts w:hint="eastAsia" w:ascii="仿宋" w:hAnsi="仿宋" w:eastAsia="仿宋" w:cs="仿宋"/>
          <w:i w:val="0"/>
          <w:iCs w:val="0"/>
          <w:caps w:val="0"/>
          <w:color w:val="auto"/>
          <w:spacing w:val="0"/>
          <w:sz w:val="32"/>
          <w:szCs w:val="32"/>
          <w:shd w:val="clear" w:fill="FFFFFF"/>
        </w:rPr>
        <w:t>年度实际收到</w:t>
      </w:r>
      <w:r>
        <w:rPr>
          <w:rFonts w:hint="eastAsia" w:ascii="仿宋" w:hAnsi="仿宋" w:eastAsia="仿宋" w:cs="仿宋"/>
          <w:i w:val="0"/>
          <w:iCs w:val="0"/>
          <w:caps w:val="0"/>
          <w:color w:val="auto"/>
          <w:spacing w:val="0"/>
          <w:sz w:val="32"/>
          <w:szCs w:val="32"/>
          <w:shd w:val="clear" w:fill="FFFFFF"/>
          <w:lang w:val="en-US" w:eastAsia="zh-CN"/>
        </w:rPr>
        <w:t>项目</w:t>
      </w:r>
      <w:r>
        <w:rPr>
          <w:rFonts w:hint="eastAsia" w:ascii="仿宋" w:hAnsi="仿宋" w:eastAsia="仿宋" w:cs="仿宋"/>
          <w:i w:val="0"/>
          <w:iCs w:val="0"/>
          <w:caps w:val="0"/>
          <w:color w:val="auto"/>
          <w:spacing w:val="0"/>
          <w:sz w:val="32"/>
          <w:szCs w:val="32"/>
          <w:shd w:val="clear" w:fill="FFFFFF"/>
        </w:rPr>
        <w:t>资金</w:t>
      </w:r>
      <w:r>
        <w:rPr>
          <w:rFonts w:hint="eastAsia" w:ascii="仿宋" w:hAnsi="仿宋" w:eastAsia="仿宋" w:cs="仿宋"/>
          <w:i w:val="0"/>
          <w:iCs w:val="0"/>
          <w:caps w:val="0"/>
          <w:color w:val="auto"/>
          <w:spacing w:val="0"/>
          <w:sz w:val="32"/>
          <w:szCs w:val="32"/>
          <w:shd w:val="clear" w:fill="FFFFFF"/>
          <w:lang w:val="en-US" w:eastAsia="zh-CN"/>
        </w:rPr>
        <w:t>325.87</w:t>
      </w:r>
      <w:r>
        <w:rPr>
          <w:rFonts w:hint="eastAsia" w:ascii="仿宋" w:hAnsi="仿宋" w:eastAsia="仿宋" w:cs="仿宋"/>
          <w:i w:val="0"/>
          <w:iCs w:val="0"/>
          <w:caps w:val="0"/>
          <w:color w:val="auto"/>
          <w:spacing w:val="0"/>
          <w:sz w:val="32"/>
          <w:szCs w:val="32"/>
          <w:shd w:val="clear" w:fill="FFFFFF"/>
        </w:rPr>
        <w:t>万元，专项资</w:t>
      </w:r>
      <w:r>
        <w:rPr>
          <w:rFonts w:hint="eastAsia" w:ascii="仿宋" w:hAnsi="仿宋" w:eastAsia="仿宋" w:cs="仿宋"/>
          <w:i w:val="0"/>
          <w:iCs w:val="0"/>
          <w:caps w:val="0"/>
          <w:color w:val="auto"/>
          <w:spacing w:val="0"/>
          <w:sz w:val="32"/>
          <w:szCs w:val="32"/>
          <w:highlight w:val="none"/>
          <w:shd w:val="clear" w:fill="FFFFFF"/>
        </w:rPr>
        <w:t>金实际支出</w:t>
      </w:r>
      <w:r>
        <w:rPr>
          <w:rFonts w:hint="eastAsia" w:ascii="仿宋" w:hAnsi="仿宋" w:eastAsia="仿宋" w:cs="仿宋"/>
          <w:i w:val="0"/>
          <w:iCs w:val="0"/>
          <w:caps w:val="0"/>
          <w:color w:val="auto"/>
          <w:spacing w:val="0"/>
          <w:sz w:val="32"/>
          <w:szCs w:val="32"/>
          <w:highlight w:val="none"/>
          <w:shd w:val="clear" w:fill="FFFFFF"/>
          <w:lang w:val="en-US" w:eastAsia="zh-CN"/>
        </w:rPr>
        <w:t>325.87</w:t>
      </w:r>
      <w:r>
        <w:rPr>
          <w:rFonts w:hint="eastAsia" w:ascii="仿宋" w:hAnsi="仿宋" w:eastAsia="仿宋" w:cs="仿宋"/>
          <w:i w:val="0"/>
          <w:iCs w:val="0"/>
          <w:caps w:val="0"/>
          <w:color w:val="auto"/>
          <w:spacing w:val="0"/>
          <w:sz w:val="32"/>
          <w:szCs w:val="32"/>
          <w:highlight w:val="none"/>
          <w:shd w:val="clear" w:fill="FFFFFF"/>
        </w:rPr>
        <w:t>万元，预算执行率100%。</w:t>
      </w:r>
      <w:r>
        <w:rPr>
          <w:rFonts w:hint="eastAsia" w:ascii="仿宋" w:hAnsi="仿宋" w:eastAsia="仿宋" w:cs="仿宋"/>
          <w:i w:val="0"/>
          <w:iCs w:val="0"/>
          <w:caps w:val="0"/>
          <w:color w:val="auto"/>
          <w:spacing w:val="0"/>
          <w:sz w:val="32"/>
          <w:szCs w:val="32"/>
          <w:highlight w:val="none"/>
          <w:shd w:val="clear" w:fill="FFFFFF"/>
          <w:lang w:val="en-US" w:eastAsia="zh-CN"/>
        </w:rPr>
        <w:t>其中：</w:t>
      </w:r>
      <w:r>
        <w:rPr>
          <w:rFonts w:hint="eastAsia" w:ascii="仿宋" w:hAnsi="仿宋" w:eastAsia="仿宋" w:cs="仿宋"/>
          <w:i w:val="0"/>
          <w:iCs w:val="0"/>
          <w:caps w:val="0"/>
          <w:color w:val="auto"/>
          <w:spacing w:val="0"/>
          <w:sz w:val="32"/>
          <w:szCs w:val="32"/>
          <w:highlight w:val="none"/>
          <w:vertAlign w:val="baseline"/>
        </w:rPr>
        <w:t>收到财政项目专项资金拨款收入</w:t>
      </w:r>
      <w:r>
        <w:rPr>
          <w:rFonts w:hint="eastAsia" w:ascii="仿宋" w:hAnsi="仿宋" w:eastAsia="仿宋" w:cs="仿宋"/>
          <w:i w:val="0"/>
          <w:iCs w:val="0"/>
          <w:caps w:val="0"/>
          <w:color w:val="auto"/>
          <w:spacing w:val="0"/>
          <w:sz w:val="32"/>
          <w:szCs w:val="32"/>
          <w:highlight w:val="none"/>
          <w:vertAlign w:val="baseline"/>
          <w:lang w:val="en-US" w:eastAsia="zh-CN"/>
        </w:rPr>
        <w:t>25</w:t>
      </w:r>
      <w:r>
        <w:rPr>
          <w:rFonts w:hint="eastAsia" w:ascii="仿宋" w:hAnsi="仿宋" w:eastAsia="仿宋" w:cs="仿宋"/>
          <w:i w:val="0"/>
          <w:iCs w:val="0"/>
          <w:caps w:val="0"/>
          <w:color w:val="auto"/>
          <w:spacing w:val="0"/>
          <w:sz w:val="32"/>
          <w:szCs w:val="32"/>
          <w:highlight w:val="none"/>
          <w:vertAlign w:val="baseline"/>
        </w:rPr>
        <w:t>万元</w:t>
      </w:r>
      <w:r>
        <w:rPr>
          <w:rFonts w:hint="eastAsia" w:ascii="仿宋" w:hAnsi="仿宋" w:eastAsia="仿宋" w:cs="仿宋"/>
          <w:i w:val="0"/>
          <w:iCs w:val="0"/>
          <w:caps w:val="0"/>
          <w:color w:val="auto"/>
          <w:spacing w:val="0"/>
          <w:sz w:val="32"/>
          <w:szCs w:val="32"/>
          <w:highlight w:val="none"/>
          <w:vertAlign w:val="baseline"/>
          <w:lang w:eastAsia="zh-CN"/>
        </w:rPr>
        <w:t>（</w:t>
      </w:r>
      <w:r>
        <w:rPr>
          <w:rFonts w:hint="eastAsia" w:ascii="仿宋" w:hAnsi="仿宋" w:eastAsia="仿宋" w:cs="仿宋"/>
          <w:i w:val="0"/>
          <w:iCs w:val="0"/>
          <w:caps w:val="0"/>
          <w:color w:val="auto"/>
          <w:spacing w:val="0"/>
          <w:sz w:val="32"/>
          <w:szCs w:val="32"/>
          <w:highlight w:val="none"/>
          <w:vertAlign w:val="baseline"/>
          <w:lang w:val="en-US" w:eastAsia="zh-CN"/>
        </w:rPr>
        <w:t>社区教育专项经费25万元</w:t>
      </w:r>
      <w:r>
        <w:rPr>
          <w:rFonts w:hint="eastAsia" w:ascii="仿宋" w:hAnsi="仿宋" w:eastAsia="仿宋" w:cs="仿宋"/>
          <w:i w:val="0"/>
          <w:iCs w:val="0"/>
          <w:caps w:val="0"/>
          <w:color w:val="auto"/>
          <w:spacing w:val="0"/>
          <w:sz w:val="32"/>
          <w:szCs w:val="32"/>
          <w:highlight w:val="none"/>
          <w:vertAlign w:val="baseline"/>
          <w:lang w:eastAsia="zh-CN"/>
        </w:rPr>
        <w:t>），</w:t>
      </w:r>
      <w:r>
        <w:rPr>
          <w:rFonts w:hint="eastAsia" w:ascii="仿宋" w:hAnsi="仿宋" w:eastAsia="仿宋" w:cs="仿宋"/>
          <w:i w:val="0"/>
          <w:iCs w:val="0"/>
          <w:caps w:val="0"/>
          <w:color w:val="auto"/>
          <w:spacing w:val="0"/>
          <w:sz w:val="32"/>
          <w:szCs w:val="32"/>
          <w:highlight w:val="none"/>
          <w:vertAlign w:val="baseline"/>
        </w:rPr>
        <w:t>共计支出</w:t>
      </w:r>
      <w:r>
        <w:rPr>
          <w:rFonts w:hint="eastAsia" w:ascii="仿宋" w:hAnsi="仿宋" w:eastAsia="仿宋" w:cs="仿宋"/>
          <w:i w:val="0"/>
          <w:iCs w:val="0"/>
          <w:caps w:val="0"/>
          <w:color w:val="auto"/>
          <w:spacing w:val="0"/>
          <w:sz w:val="32"/>
          <w:szCs w:val="32"/>
          <w:highlight w:val="none"/>
          <w:vertAlign w:val="baseline"/>
          <w:lang w:val="en-US" w:eastAsia="zh-CN"/>
        </w:rPr>
        <w:t>社区教育专项经费25万元，其支出具体构成为</w:t>
      </w:r>
      <w:r>
        <w:rPr>
          <w:rFonts w:hint="default" w:ascii="仿宋" w:hAnsi="仿宋" w:eastAsia="仿宋" w:cs="仿宋"/>
          <w:color w:val="auto"/>
          <w:sz w:val="32"/>
          <w:szCs w:val="32"/>
          <w:highlight w:val="none"/>
          <w:lang w:val="en-US" w:eastAsia="zh-CN"/>
        </w:rPr>
        <w:t>开展社区教育活动支出7</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71</w:t>
      </w:r>
      <w:r>
        <w:rPr>
          <w:rFonts w:hint="eastAsia" w:ascii="仿宋" w:hAnsi="仿宋" w:eastAsia="仿宋" w:cs="仿宋"/>
          <w:color w:val="auto"/>
          <w:sz w:val="32"/>
          <w:szCs w:val="32"/>
          <w:highlight w:val="none"/>
          <w:lang w:val="en-US" w:eastAsia="zh-CN"/>
        </w:rPr>
        <w:t>万</w:t>
      </w:r>
      <w:r>
        <w:rPr>
          <w:rFonts w:hint="default" w:ascii="仿宋" w:hAnsi="仿宋" w:eastAsia="仿宋" w:cs="仿宋"/>
          <w:color w:val="auto"/>
          <w:sz w:val="32"/>
          <w:szCs w:val="32"/>
          <w:highlight w:val="none"/>
          <w:lang w:val="en-US" w:eastAsia="zh-CN"/>
        </w:rPr>
        <w:t>元</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课程资源建设支出9</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66</w:t>
      </w:r>
      <w:r>
        <w:rPr>
          <w:rFonts w:hint="eastAsia" w:ascii="仿宋" w:hAnsi="仿宋" w:eastAsia="仿宋" w:cs="仿宋"/>
          <w:color w:val="auto"/>
          <w:sz w:val="32"/>
          <w:szCs w:val="32"/>
          <w:highlight w:val="none"/>
          <w:lang w:val="en-US" w:eastAsia="zh-CN"/>
        </w:rPr>
        <w:t>万</w:t>
      </w:r>
      <w:r>
        <w:rPr>
          <w:rFonts w:hint="default" w:ascii="仿宋" w:hAnsi="仿宋" w:eastAsia="仿宋" w:cs="仿宋"/>
          <w:color w:val="auto"/>
          <w:sz w:val="32"/>
          <w:szCs w:val="32"/>
          <w:highlight w:val="none"/>
          <w:lang w:val="en-US" w:eastAsia="zh-CN"/>
        </w:rPr>
        <w:t>元，</w:t>
      </w:r>
      <w:r>
        <w:rPr>
          <w:rFonts w:hint="eastAsia" w:ascii="仿宋" w:hAnsi="仿宋" w:eastAsia="仿宋" w:cs="仿宋"/>
          <w:color w:val="auto"/>
          <w:sz w:val="32"/>
          <w:szCs w:val="32"/>
          <w:highlight w:val="none"/>
          <w:lang w:val="en-US" w:eastAsia="zh-CN"/>
        </w:rPr>
        <w:t>其他</w:t>
      </w:r>
      <w:r>
        <w:rPr>
          <w:rFonts w:hint="default" w:ascii="仿宋" w:hAnsi="仿宋" w:eastAsia="仿宋" w:cs="仿宋"/>
          <w:color w:val="auto"/>
          <w:sz w:val="32"/>
          <w:szCs w:val="32"/>
          <w:highlight w:val="none"/>
          <w:lang w:val="en-US" w:eastAsia="zh-CN"/>
        </w:rPr>
        <w:t>商品和服务支出7</w:t>
      </w:r>
      <w:r>
        <w:rPr>
          <w:rFonts w:hint="eastAsia" w:ascii="仿宋" w:hAnsi="仿宋" w:eastAsia="仿宋" w:cs="仿宋"/>
          <w:color w:val="auto"/>
          <w:sz w:val="32"/>
          <w:szCs w:val="32"/>
          <w:highlight w:val="none"/>
          <w:lang w:val="en-US" w:eastAsia="zh-CN"/>
        </w:rPr>
        <w:t>.</w:t>
      </w:r>
      <w:r>
        <w:rPr>
          <w:rFonts w:hint="default"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lang w:val="en-US" w:eastAsia="zh-CN"/>
        </w:rPr>
        <w:t>3万</w:t>
      </w:r>
      <w:r>
        <w:rPr>
          <w:rFonts w:hint="default" w:ascii="仿宋" w:hAnsi="仿宋" w:eastAsia="仿宋" w:cs="仿宋"/>
          <w:color w:val="auto"/>
          <w:sz w:val="32"/>
          <w:szCs w:val="32"/>
          <w:highlight w:val="none"/>
          <w:lang w:val="en-US" w:eastAsia="zh-CN"/>
        </w:rPr>
        <w:t>元</w:t>
      </w:r>
      <w:r>
        <w:rPr>
          <w:rFonts w:hint="eastAsia" w:ascii="仿宋" w:hAnsi="仿宋" w:eastAsia="仿宋" w:cs="仿宋"/>
          <w:color w:val="auto"/>
          <w:sz w:val="32"/>
          <w:szCs w:val="32"/>
          <w:highlight w:val="none"/>
          <w:lang w:val="en-US" w:eastAsia="zh-CN"/>
        </w:rPr>
        <w:t>，专项经费专款专用，所有支出均在规范合理的预算范围之内。</w:t>
      </w:r>
    </w:p>
    <w:p w14:paraId="1D04E3C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kern w:val="2"/>
          <w:sz w:val="32"/>
          <w:szCs w:val="32"/>
          <w:highlight w:val="none"/>
          <w:lang w:val="en-US" w:eastAsia="zh-CN" w:bidi="ar-SA"/>
        </w:rPr>
        <w:t>3、</w:t>
      </w:r>
      <w:r>
        <w:rPr>
          <w:rFonts w:hint="default" w:ascii="Times New Roman Regular" w:hAnsi="Times New Roman Regular" w:eastAsia="仿宋_GB2312" w:cs="Times New Roman Regular"/>
          <w:color w:val="auto"/>
          <w:sz w:val="32"/>
          <w:szCs w:val="32"/>
          <w:highlight w:val="none"/>
          <w:lang w:val="en-US" w:eastAsia="zh-CN"/>
        </w:rPr>
        <w:t>项目资金管理情况分析。</w:t>
      </w:r>
    </w:p>
    <w:p w14:paraId="0FD7533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i w:val="0"/>
          <w:iCs w:val="0"/>
          <w:caps w:val="0"/>
          <w:color w:val="auto"/>
          <w:spacing w:val="0"/>
          <w:sz w:val="32"/>
          <w:szCs w:val="32"/>
          <w:highlight w:val="none"/>
          <w:vertAlign w:val="baseline"/>
        </w:rPr>
        <w:t>学校对于专项资金的使用和管理严格按上级专项资金相关规定执行，坚持“专人负责，专款专用，严</w:t>
      </w:r>
      <w:r>
        <w:rPr>
          <w:rFonts w:hint="eastAsia" w:ascii="仿宋" w:hAnsi="仿宋" w:eastAsia="仿宋" w:cs="仿宋"/>
          <w:i w:val="0"/>
          <w:iCs w:val="0"/>
          <w:caps w:val="0"/>
          <w:color w:val="auto"/>
          <w:spacing w:val="0"/>
          <w:sz w:val="32"/>
          <w:szCs w:val="32"/>
          <w:highlight w:val="none"/>
          <w:vertAlign w:val="baseline"/>
          <w:lang w:val="en-US" w:eastAsia="zh-CN"/>
        </w:rPr>
        <w:t>格</w:t>
      </w:r>
      <w:r>
        <w:rPr>
          <w:rFonts w:hint="eastAsia" w:ascii="仿宋" w:hAnsi="仿宋" w:eastAsia="仿宋" w:cs="仿宋"/>
          <w:i w:val="0"/>
          <w:iCs w:val="0"/>
          <w:caps w:val="0"/>
          <w:color w:val="auto"/>
          <w:spacing w:val="0"/>
          <w:sz w:val="32"/>
          <w:szCs w:val="32"/>
          <w:highlight w:val="none"/>
          <w:vertAlign w:val="baseline"/>
        </w:rPr>
        <w:t>把关”的原则，由学校纪检监察室参与项目的全程监督。</w:t>
      </w:r>
    </w:p>
    <w:p w14:paraId="47AF94B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w:t>
      </w:r>
    </w:p>
    <w:p w14:paraId="7AE5CB8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560" w:lineRule="exact"/>
        <w:ind w:left="0" w:right="0" w:firstLine="640" w:firstLineChars="200"/>
        <w:jc w:val="both"/>
        <w:textAlignment w:val="baseline"/>
        <w:rPr>
          <w:rFonts w:hint="default" w:ascii="仿宋" w:hAnsi="仿宋" w:eastAsia="仿宋" w:cs="仿宋"/>
          <w:i w:val="0"/>
          <w:iCs w:val="0"/>
          <w:caps w:val="0"/>
          <w:color w:val="auto"/>
          <w:spacing w:val="0"/>
          <w:kern w:val="2"/>
          <w:sz w:val="32"/>
          <w:szCs w:val="32"/>
          <w:highlight w:val="none"/>
          <w:vertAlign w:val="baseline"/>
          <w:lang w:val="en-US" w:eastAsia="zh-CN" w:bidi="ar-SA"/>
        </w:rPr>
      </w:pPr>
      <w:r>
        <w:rPr>
          <w:rFonts w:hint="eastAsia" w:ascii="仿宋" w:hAnsi="仿宋" w:eastAsia="仿宋" w:cs="仿宋"/>
          <w:i w:val="0"/>
          <w:iCs w:val="0"/>
          <w:caps w:val="0"/>
          <w:color w:val="auto"/>
          <w:spacing w:val="0"/>
          <w:kern w:val="2"/>
          <w:sz w:val="32"/>
          <w:szCs w:val="32"/>
          <w:highlight w:val="none"/>
          <w:vertAlign w:val="baseline"/>
          <w:lang w:val="en-US" w:eastAsia="zh-CN" w:bidi="ar-SA"/>
        </w:rPr>
        <w:t>针对不同的项目内容，将工作任务细化到各部门及个人，对所有项目严格按照程序进行。在市财政局、教育局和学校纪检监察室的监督下，由学校总务科负责各个项目的资金核算和经费控制，整个流程均按财政部门的要求合理合法开展。</w:t>
      </w:r>
    </w:p>
    <w:p w14:paraId="4E7AEDC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kern w:val="2"/>
          <w:sz w:val="32"/>
          <w:szCs w:val="32"/>
          <w:highlight w:val="none"/>
          <w:lang w:val="en-US" w:eastAsia="zh-CN" w:bidi="ar-SA"/>
        </w:rPr>
        <w:t>（二）</w:t>
      </w:r>
      <w:r>
        <w:rPr>
          <w:rFonts w:hint="default" w:ascii="Times New Roman Regular" w:hAnsi="Times New Roman Regular" w:eastAsia="仿宋_GB2312" w:cs="Times New Roman Regular"/>
          <w:color w:val="auto"/>
          <w:sz w:val="32"/>
          <w:szCs w:val="32"/>
          <w:highlight w:val="none"/>
          <w:lang w:val="en-US" w:eastAsia="zh-CN"/>
        </w:rPr>
        <w:t>项目管理情况分析。</w:t>
      </w:r>
    </w:p>
    <w:p w14:paraId="1A11E69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560" w:lineRule="exact"/>
        <w:ind w:left="0" w:right="0" w:firstLine="640" w:firstLineChars="200"/>
        <w:jc w:val="both"/>
        <w:textAlignment w:val="baseline"/>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i w:val="0"/>
          <w:iCs w:val="0"/>
          <w:caps w:val="0"/>
          <w:color w:val="auto"/>
          <w:spacing w:val="0"/>
          <w:sz w:val="32"/>
          <w:szCs w:val="32"/>
          <w:highlight w:val="none"/>
          <w:vertAlign w:val="baseline"/>
        </w:rPr>
        <w:t>一是加强领导责任意识，落实管理责任；二是加强资金管理制度建设，确保机构健全、分工明确；三是加强资金支出管理，严格支出标准和范围，确保专款专用，无截留、挤占或挪用；四是严格按照学校内部控制制度进行项目管理。</w:t>
      </w:r>
    </w:p>
    <w:p w14:paraId="6681E12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4635728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560" w:lineRule="exact"/>
        <w:ind w:left="0" w:right="0" w:firstLine="640" w:firstLineChars="200"/>
        <w:jc w:val="both"/>
        <w:textAlignment w:val="baseline"/>
        <w:rPr>
          <w:rFonts w:hint="eastAsia" w:ascii="仿宋" w:hAnsi="仿宋" w:eastAsia="仿宋" w:cs="仿宋"/>
          <w:color w:val="auto"/>
          <w:kern w:val="2"/>
          <w:sz w:val="32"/>
          <w:szCs w:val="32"/>
          <w:highlight w:val="green"/>
          <w:lang w:val="en-US" w:eastAsia="zh-CN" w:bidi="ar-SA"/>
        </w:rPr>
      </w:pPr>
      <w:r>
        <w:rPr>
          <w:rFonts w:hint="eastAsia" w:ascii="仿宋" w:hAnsi="仿宋" w:eastAsia="仿宋" w:cs="仿宋"/>
          <w:color w:val="auto"/>
          <w:kern w:val="2"/>
          <w:sz w:val="32"/>
          <w:szCs w:val="32"/>
          <w:highlight w:val="none"/>
          <w:lang w:val="en-US" w:eastAsia="zh-CN" w:bidi="ar-SA"/>
        </w:rPr>
        <w:t>（一）资产管理制度。学校制定了内部控制制度，其中含政府采购、资产管理等相关内容。</w:t>
      </w:r>
    </w:p>
    <w:p w14:paraId="476FF5A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560" w:lineRule="exact"/>
        <w:ind w:left="0" w:right="0" w:firstLine="640" w:firstLineChars="200"/>
        <w:jc w:val="both"/>
        <w:textAlignment w:val="baseline"/>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资产配置。各科室如需购置资产首先应提出申请报告，经分管领导、校长签字后，实行事前审批。金额在10000元（含10000元）以上的非日常性物资及服务采购（含维修、广告、印刷等），实行三方（业务科室、总务科和纪检监察室）共同参与询价，总务科按政府采购程序购买，并根据《怀化市直行政事业单位固定资产增减变化情况表》增加固定资产。</w:t>
      </w:r>
    </w:p>
    <w:p w14:paraId="5C94D38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560" w:lineRule="exact"/>
        <w:ind w:left="0" w:right="0" w:firstLine="640" w:firstLineChars="200"/>
        <w:jc w:val="both"/>
        <w:textAlignment w:val="baseline"/>
        <w:rPr>
          <w:rFonts w:hint="eastAsia" w:ascii="仿宋" w:hAnsi="仿宋" w:eastAsia="仿宋" w:cs="仿宋"/>
          <w:color w:val="auto"/>
          <w:kern w:val="2"/>
          <w:sz w:val="32"/>
          <w:szCs w:val="32"/>
          <w:highlight w:val="green"/>
          <w:lang w:val="en-US" w:eastAsia="zh-CN" w:bidi="ar-SA"/>
        </w:rPr>
      </w:pPr>
      <w:r>
        <w:rPr>
          <w:rFonts w:hint="eastAsia" w:ascii="仿宋" w:hAnsi="仿宋" w:eastAsia="仿宋" w:cs="仿宋"/>
          <w:color w:val="auto"/>
          <w:kern w:val="2"/>
          <w:sz w:val="32"/>
          <w:szCs w:val="32"/>
          <w:highlight w:val="none"/>
          <w:lang w:val="en-US" w:eastAsia="zh-CN" w:bidi="ar-SA"/>
        </w:rPr>
        <w:t>（三）资产管理。按照市财政局和相关部门的要求，定期做好固定资产录入和国有资产清查工作，做到账账相符、账实相符。</w:t>
      </w:r>
    </w:p>
    <w:p w14:paraId="1FBDA16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560" w:lineRule="exact"/>
        <w:ind w:left="0" w:right="0" w:firstLine="640" w:firstLineChars="200"/>
        <w:jc w:val="both"/>
        <w:textAlignment w:val="baseline"/>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kern w:val="2"/>
          <w:sz w:val="32"/>
          <w:szCs w:val="32"/>
          <w:highlight w:val="none"/>
          <w:lang w:val="en-US" w:eastAsia="zh-CN" w:bidi="ar-SA"/>
        </w:rPr>
        <w:t>（四）资产处置。对达到报废年限且无使用价值或修复成本大于使用价值的资产，由总务科提出申请，经校党委会讨论研究，确实符合资产报废条件的，由总务科根据程序进行资产处置。</w:t>
      </w:r>
    </w:p>
    <w:p w14:paraId="7C2AACF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2A7141E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2025年我校无政府性基金预算支出。</w:t>
      </w:r>
    </w:p>
    <w:p w14:paraId="3488626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5598DD0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2025年我校无国有资本经营预算支出。</w:t>
      </w:r>
    </w:p>
    <w:p w14:paraId="3844A89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kern w:val="2"/>
          <w:sz w:val="32"/>
          <w:szCs w:val="32"/>
          <w:lang w:val="en-US" w:eastAsia="zh-CN" w:bidi="ar-SA"/>
        </w:rPr>
        <w:t>七、</w:t>
      </w: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1A6932B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2025年我校无社会保险基金预算支出。</w:t>
      </w:r>
    </w:p>
    <w:p w14:paraId="387ACBF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0244016E">
      <w:pPr>
        <w:pStyle w:val="5"/>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rPr>
          <w:rFonts w:hint="eastAsia" w:ascii="仿宋" w:hAnsi="仿宋" w:eastAsia="仿宋" w:cs="仿宋"/>
          <w:bCs/>
          <w:color w:val="auto"/>
          <w:sz w:val="32"/>
          <w:szCs w:val="32"/>
        </w:rPr>
      </w:pPr>
      <w:r>
        <w:rPr>
          <w:rFonts w:hint="eastAsia" w:ascii="仿宋" w:hAnsi="仿宋" w:eastAsia="仿宋" w:cs="仿宋"/>
          <w:bCs/>
          <w:color w:val="auto"/>
          <w:sz w:val="32"/>
          <w:szCs w:val="32"/>
        </w:rPr>
        <w:t>（一）综合评价结论</w:t>
      </w:r>
    </w:p>
    <w:p w14:paraId="66A23839">
      <w:pPr>
        <w:pStyle w:val="5"/>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rPr>
          <w:rFonts w:hint="eastAsia" w:ascii="仿宋" w:hAnsi="仿宋" w:eastAsia="仿宋" w:cs="仿宋"/>
          <w:bCs/>
          <w:color w:val="auto"/>
          <w:sz w:val="32"/>
          <w:szCs w:val="32"/>
        </w:rPr>
      </w:pPr>
      <w:r>
        <w:rPr>
          <w:rFonts w:hint="eastAsia" w:ascii="仿宋" w:hAnsi="仿宋" w:eastAsia="仿宋" w:cs="仿宋"/>
          <w:bCs/>
          <w:color w:val="auto"/>
          <w:sz w:val="32"/>
          <w:szCs w:val="32"/>
        </w:rPr>
        <w:t>怀化开放大学在202</w:t>
      </w:r>
      <w:r>
        <w:rPr>
          <w:rFonts w:hint="eastAsia" w:ascii="仿宋" w:hAnsi="仿宋" w:eastAsia="仿宋" w:cs="仿宋"/>
          <w:bCs/>
          <w:color w:val="auto"/>
          <w:sz w:val="32"/>
          <w:szCs w:val="32"/>
          <w:lang w:val="en-US" w:eastAsia="zh-CN"/>
        </w:rPr>
        <w:t>5</w:t>
      </w:r>
      <w:r>
        <w:rPr>
          <w:rFonts w:hint="eastAsia" w:ascii="仿宋" w:hAnsi="仿宋" w:eastAsia="仿宋" w:cs="仿宋"/>
          <w:bCs/>
          <w:color w:val="auto"/>
          <w:sz w:val="32"/>
          <w:szCs w:val="32"/>
        </w:rPr>
        <w:t>年度部门整体支出绩效自评中，经过对预算配置、预算执行、教育教学成果、机构设置与人员配置等多个维度的严格自评，学校自评得分为优良等级。</w:t>
      </w:r>
    </w:p>
    <w:p w14:paraId="26FBC5C9">
      <w:pPr>
        <w:pStyle w:val="5"/>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rPr>
          <w:rFonts w:hint="eastAsia" w:ascii="仿宋" w:hAnsi="仿宋" w:eastAsia="仿宋" w:cs="仿宋"/>
          <w:bCs/>
          <w:color w:val="auto"/>
          <w:sz w:val="32"/>
          <w:szCs w:val="32"/>
        </w:rPr>
      </w:pPr>
      <w:r>
        <w:rPr>
          <w:rFonts w:hint="eastAsia" w:ascii="仿宋" w:hAnsi="仿宋" w:eastAsia="仿宋" w:cs="仿宋"/>
          <w:bCs/>
          <w:color w:val="auto"/>
          <w:sz w:val="32"/>
          <w:szCs w:val="32"/>
        </w:rPr>
        <w:t>（二）评价指标分析（或综合评价情况）</w:t>
      </w:r>
    </w:p>
    <w:p w14:paraId="4A856A1D">
      <w:pPr>
        <w:pStyle w:val="5"/>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rPr>
          <w:rFonts w:hint="eastAsia" w:ascii="仿宋" w:hAnsi="仿宋" w:eastAsia="仿宋" w:cs="仿宋"/>
          <w:bCs/>
          <w:color w:val="auto"/>
          <w:sz w:val="32"/>
          <w:szCs w:val="32"/>
        </w:rPr>
      </w:pPr>
      <w:r>
        <w:rPr>
          <w:rFonts w:hint="eastAsia" w:ascii="仿宋" w:hAnsi="仿宋" w:eastAsia="仿宋" w:cs="仿宋"/>
          <w:bCs/>
          <w:color w:val="auto"/>
          <w:sz w:val="32"/>
          <w:szCs w:val="32"/>
        </w:rPr>
        <w:t>怀化开放大学在“四本预算”支出绩效目标完成方面取得了积极成效，各项产出与效益指标总体达到预期。为持续提升预算资金的使用效益和管理水平，学校将进一步强化预算管理与资产管理，优化资源配置结构；同时，加强与社会各界的合作与交流，拓展服务领域及服务对象；并注重教职工队伍建设与发展，激发教职工的工作积极性和创新能力。</w:t>
      </w:r>
    </w:p>
    <w:p w14:paraId="243CB046">
      <w:pPr>
        <w:pStyle w:val="5"/>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rPr>
          <w:rFonts w:hint="eastAsia" w:ascii="仿宋" w:hAnsi="仿宋" w:eastAsia="仿宋" w:cs="仿宋"/>
          <w:bCs/>
          <w:color w:val="auto"/>
          <w:sz w:val="32"/>
          <w:szCs w:val="32"/>
          <w:lang w:eastAsia="zh-CN"/>
        </w:rPr>
      </w:pPr>
      <w:r>
        <w:rPr>
          <w:rFonts w:hint="eastAsia" w:ascii="仿宋" w:hAnsi="仿宋" w:eastAsia="仿宋" w:cs="仿宋"/>
          <w:bCs/>
          <w:color w:val="auto"/>
          <w:sz w:val="32"/>
          <w:szCs w:val="32"/>
        </w:rPr>
        <w:t>1.绩效目标设定与完成情况</w:t>
      </w:r>
    </w:p>
    <w:p w14:paraId="47EBE75B">
      <w:pPr>
        <w:pStyle w:val="5"/>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rPr>
          <w:rFonts w:hint="eastAsia" w:ascii="仿宋" w:hAnsi="仿宋" w:eastAsia="仿宋" w:cs="仿宋"/>
          <w:bCs/>
          <w:color w:val="auto"/>
          <w:sz w:val="32"/>
          <w:szCs w:val="32"/>
        </w:rPr>
      </w:pPr>
      <w:r>
        <w:rPr>
          <w:rFonts w:hint="eastAsia" w:ascii="仿宋" w:hAnsi="仿宋" w:eastAsia="仿宋" w:cs="仿宋"/>
          <w:bCs/>
          <w:color w:val="auto"/>
          <w:sz w:val="32"/>
          <w:szCs w:val="32"/>
        </w:rPr>
        <w:t>根据学校的发展战略和行业发展规划，我校制定了具体的绩效目标，并将这些目标细化为各项预算支出指标。通过对比实际完成情况与绩效目标，</w:t>
      </w:r>
      <w:r>
        <w:rPr>
          <w:rFonts w:hint="eastAsia" w:ascii="仿宋" w:hAnsi="仿宋" w:eastAsia="仿宋" w:cs="仿宋"/>
          <w:bCs/>
          <w:color w:val="auto"/>
          <w:sz w:val="32"/>
          <w:szCs w:val="32"/>
          <w:lang w:val="en-US" w:eastAsia="zh-CN"/>
        </w:rPr>
        <w:t>主要取得如下</w:t>
      </w:r>
      <w:r>
        <w:rPr>
          <w:rFonts w:hint="eastAsia" w:ascii="仿宋" w:hAnsi="仿宋" w:eastAsia="仿宋" w:cs="仿宋"/>
          <w:bCs/>
          <w:color w:val="auto"/>
          <w:sz w:val="32"/>
          <w:szCs w:val="32"/>
        </w:rPr>
        <w:t>成效：</w:t>
      </w:r>
    </w:p>
    <w:p w14:paraId="2DA44049">
      <w:pPr>
        <w:snapToGrid w:val="0"/>
        <w:spacing w:line="520" w:lineRule="exact"/>
        <w:ind w:firstLine="640" w:firstLineChars="200"/>
        <w:rPr>
          <w:rFonts w:ascii="仿宋_GB2312" w:hAnsi="仿宋" w:eastAsia="仿宋_GB2312"/>
          <w:color w:val="auto"/>
          <w:sz w:val="32"/>
          <w:szCs w:val="32"/>
        </w:rPr>
      </w:pPr>
      <w:r>
        <w:rPr>
          <w:rFonts w:hint="eastAsia" w:ascii="仿宋" w:hAnsi="仿宋" w:eastAsia="仿宋" w:cs="仿宋"/>
          <w:bCs/>
          <w:color w:val="auto"/>
          <w:kern w:val="0"/>
          <w:sz w:val="32"/>
          <w:szCs w:val="32"/>
          <w:lang w:val="en-US" w:eastAsia="zh-CN" w:bidi="ar"/>
        </w:rPr>
        <w:t>（1）强化师资建设，提升队伍能级。一是多措并举优化结构。通过职称评审、教师资格考试等措施，进一步优化师资队伍结构。制定职称评审激励政策，鼓励教师积极申报高一级职称。组织教师参加高校教师资格考试培训，提高教师资格考试通过率。全年共有1名教师评聘教授，2名教师通过副高职称评审，6名教师通过高校教师资格考试，师资力量持续增强。二是健全制度激发活力。修订了《怀化开放大学绩效管理办法（2025年修订稿）》，出台了《关于鼓励在职教师攻读研究生学历的办法》，拟订了《怀化开放大学专业技术岗位内部晋升办法》。通过建立健全相关制度，完善绩效分配制度，鼓励在职教师提升学历，规范专业技术人员岗位等级晋升及聘任工作，进一步调动教职工主动性、积极性和创造性，提高工作效率。激励教师干事创业。三是提质赋能成效显著。组织教师积极参加国家开放大学、湖南开放大学等单位各类教育教研类竞赛，获得优秀组织奖4次、各类奖项21个（其中国家开放大学4个、湖南开放大学一等奖3个）；全年立项课题</w:t>
      </w:r>
      <w:r>
        <w:rPr>
          <w:rFonts w:hint="eastAsia" w:ascii="仿宋" w:hAnsi="仿宋" w:eastAsia="仿宋" w:cs="仿宋"/>
          <w:bCs/>
          <w:color w:val="auto"/>
          <w:kern w:val="0"/>
          <w:sz w:val="32"/>
          <w:szCs w:val="32"/>
          <w:highlight w:val="none"/>
          <w:lang w:val="en-US" w:eastAsia="zh-CN" w:bidi="ar"/>
        </w:rPr>
        <w:t>29</w:t>
      </w:r>
      <w:r>
        <w:rPr>
          <w:rFonts w:hint="eastAsia" w:ascii="仿宋" w:hAnsi="仿宋" w:eastAsia="仿宋" w:cs="仿宋"/>
          <w:bCs/>
          <w:color w:val="auto"/>
          <w:kern w:val="0"/>
          <w:sz w:val="32"/>
          <w:szCs w:val="32"/>
          <w:lang w:val="en-US" w:eastAsia="zh-CN" w:bidi="ar"/>
        </w:rPr>
        <w:t>项（含国家级课题1项），实现了科研重大突破。四是助力乡村人才培育。优化农民大学生“学历+技能+实践”培养模式，新增开发全日制高职校本课程《乡村振兴十四讲》，统筹19个实践教学基地，组织实训活动12场次，服务学员超1500人次，为全市11625名农民大学生培育、实现行政村全覆盖提供支撑。</w:t>
      </w:r>
    </w:p>
    <w:p w14:paraId="4F263CA0">
      <w:pPr>
        <w:snapToGrid w:val="0"/>
        <w:spacing w:line="520" w:lineRule="exact"/>
        <w:ind w:firstLine="640" w:firstLineChars="200"/>
        <w:rPr>
          <w:rFonts w:hint="eastAsia" w:ascii="仿宋" w:hAnsi="仿宋" w:eastAsia="仿宋" w:cs="仿宋"/>
          <w:bCs/>
          <w:color w:val="auto"/>
          <w:kern w:val="0"/>
          <w:sz w:val="32"/>
          <w:szCs w:val="32"/>
          <w:lang w:val="en-US" w:eastAsia="zh-CN" w:bidi="ar"/>
        </w:rPr>
      </w:pPr>
      <w:r>
        <w:rPr>
          <w:rFonts w:hint="eastAsia" w:ascii="仿宋" w:hAnsi="仿宋" w:eastAsia="仿宋" w:cs="仿宋"/>
          <w:bCs/>
          <w:color w:val="auto"/>
          <w:kern w:val="0"/>
          <w:sz w:val="32"/>
          <w:szCs w:val="32"/>
          <w:lang w:val="en-US" w:eastAsia="zh-CN" w:bidi="ar"/>
        </w:rPr>
        <w:t>（2）扩大招生规模，创新机制举措。一是招生规模大幅增长。2025年学校共完成各类招生4125人，其中：开放教育招生2329人（包含农民大学生325人）、全日制农民大学生159人、中专73人、成人高考招生63人、“爱晚”老年学校招收学员1501人，全面完成保规模、稳增长的年度发展任务。二是机制创新提质增效。大胆创新招生机制，实现全面重构。制定《怀化开放大学2025年招生改革工作方案》，压实领导联系学习中心的督导责任，成立招生团队推进重点项目。春季实行“两批上报”制度，秋季建立“日跟踪、周通报”机制，搭建信息共享平台，设立“招生先进个人奖”“招生先进学习中心奖”，组建专家顾问团，构建全流程保障体系，为招生工作提供坚实有力的支撑。三是精准宣传扩大覆盖。宣传工作全面升级，与怀化日报社共建宣传平台，通过短视频、直播、校长专访等形式，打造“终身学习第一站”品牌，宣传覆盖超10万人。依托学习中心开展8场“县域宣讲会”，新晃、沅陵等学习中心联合乡镇政府设置村级宣传站，覆盖率提升至70%。针对农民大学生项目，建立“组织部门推荐+学习中心协同”机制；联合多个部门构建产业工人项目协同机制，精准传递招生信息，全年共完成产业工人招生120人。</w:t>
      </w:r>
    </w:p>
    <w:p w14:paraId="4379109C">
      <w:pPr>
        <w:snapToGrid w:val="0"/>
        <w:spacing w:line="520" w:lineRule="exact"/>
        <w:ind w:firstLine="640" w:firstLineChars="200"/>
        <w:rPr>
          <w:rFonts w:hint="eastAsia" w:ascii="仿宋" w:hAnsi="仿宋" w:eastAsia="仿宋" w:cs="仿宋"/>
          <w:bCs/>
          <w:color w:val="auto"/>
          <w:kern w:val="0"/>
          <w:sz w:val="32"/>
          <w:szCs w:val="32"/>
          <w:lang w:val="en-US" w:eastAsia="zh-CN" w:bidi="ar"/>
        </w:rPr>
      </w:pPr>
      <w:r>
        <w:rPr>
          <w:rFonts w:hint="eastAsia" w:ascii="仿宋" w:hAnsi="仿宋" w:eastAsia="仿宋" w:cs="仿宋"/>
          <w:bCs/>
          <w:color w:val="auto"/>
          <w:kern w:val="0"/>
          <w:sz w:val="32"/>
          <w:szCs w:val="32"/>
          <w:lang w:val="en-US" w:eastAsia="zh-CN" w:bidi="ar"/>
        </w:rPr>
        <w:t>（3）拓展培训业务，提升服务效能。一是线下培训多元增收。全年举办线下培训14场，培训学员2800余人次，总收入超64万元，超额完成年度50万元年度目标。培训拓展市文旅局、市总工会、社工部等多家新合作单位，新增省级考试承办权，获技能培训资质，推进创业资质申请，为后续发展奠定坚实基础。人才驿站全年接待280余名引进人才，举办大学生暑期夏令营活动。二是线上培训成绩亮眼。2025年线上平台总营收达328.7万元，超额完成300万元年度目标。成立六个专项推广小组并开展三轮实地宣传推广活动。秉持“客户至上、专业高效”理念，认真履职，及时响应处理学员问题，保障服务闭环与学员满意。学校荣获“湖南开放大学办学体系事业单位工作人员培训先进集体一等奖”。三是干教培训稳步推进。做好干部教育线上平台在籍学员27005人的服务工作，成功举办“习近平总书记关于加强党的作风建设的重要论述和中央八项规定精神”“树立和践行正确政绩观”专题培训班，分别培训县处级以上干部824人、副处级以上干部2227人，通过率100%。</w:t>
      </w:r>
    </w:p>
    <w:p w14:paraId="19D6B7DB">
      <w:pPr>
        <w:spacing w:line="600" w:lineRule="exact"/>
        <w:ind w:firstLine="640" w:firstLineChars="200"/>
        <w:rPr>
          <w:rFonts w:hint="eastAsia" w:ascii="仿宋" w:hAnsi="仿宋" w:eastAsia="仿宋" w:cs="仿宋"/>
          <w:bCs/>
          <w:color w:val="auto"/>
          <w:kern w:val="0"/>
          <w:sz w:val="32"/>
          <w:szCs w:val="32"/>
          <w:lang w:val="en-US" w:eastAsia="zh-CN" w:bidi="ar"/>
        </w:rPr>
      </w:pPr>
      <w:r>
        <w:rPr>
          <w:rFonts w:hint="eastAsia" w:ascii="仿宋" w:hAnsi="仿宋" w:eastAsia="仿宋" w:cs="仿宋"/>
          <w:bCs/>
          <w:color w:val="auto"/>
          <w:kern w:val="0"/>
          <w:sz w:val="32"/>
          <w:szCs w:val="32"/>
          <w:lang w:val="en-US" w:eastAsia="zh-CN" w:bidi="ar"/>
        </w:rPr>
        <w:t>（4）加强科研创新，产出优质成果。</w:t>
      </w:r>
      <w:bookmarkStart w:id="0" w:name="_Hlk186180000"/>
      <w:r>
        <w:rPr>
          <w:rFonts w:hint="eastAsia" w:ascii="仿宋" w:hAnsi="仿宋" w:eastAsia="仿宋" w:cs="仿宋"/>
          <w:bCs/>
          <w:color w:val="auto"/>
          <w:kern w:val="0"/>
          <w:sz w:val="32"/>
          <w:szCs w:val="32"/>
          <w:lang w:val="en-US" w:eastAsia="zh-CN" w:bidi="ar"/>
        </w:rPr>
        <w:t>学校全年成功立项科研课</w:t>
      </w:r>
      <w:r>
        <w:rPr>
          <w:rFonts w:hint="eastAsia" w:ascii="仿宋" w:hAnsi="仿宋" w:eastAsia="仿宋" w:cs="仿宋"/>
          <w:bCs/>
          <w:color w:val="auto"/>
          <w:kern w:val="0"/>
          <w:sz w:val="32"/>
          <w:szCs w:val="32"/>
          <w:highlight w:val="none"/>
          <w:lang w:val="en-US" w:eastAsia="zh-CN" w:bidi="ar"/>
        </w:rPr>
        <w:t>题29项</w:t>
      </w:r>
      <w:r>
        <w:rPr>
          <w:rFonts w:hint="eastAsia" w:ascii="仿宋" w:hAnsi="仿宋" w:eastAsia="仿宋" w:cs="仿宋"/>
          <w:bCs/>
          <w:color w:val="auto"/>
          <w:kern w:val="0"/>
          <w:sz w:val="32"/>
          <w:szCs w:val="32"/>
          <w:lang w:val="en-US" w:eastAsia="zh-CN" w:bidi="ar"/>
        </w:rPr>
        <w:t>，其中国家级课题1项</w:t>
      </w:r>
      <w:bookmarkEnd w:id="0"/>
      <w:r>
        <w:rPr>
          <w:rFonts w:hint="eastAsia" w:ascii="仿宋" w:hAnsi="仿宋" w:eastAsia="仿宋" w:cs="仿宋"/>
          <w:bCs/>
          <w:color w:val="auto"/>
          <w:kern w:val="0"/>
          <w:sz w:val="32"/>
          <w:szCs w:val="32"/>
          <w:lang w:val="en-US" w:eastAsia="zh-CN" w:bidi="ar"/>
        </w:rPr>
        <w:t>；发表论文11篇，其中3篇获省委领导批示，充分体现了学校科研成果的现实价值与政策参考意义。《依托开放大学体系构建泛在可及的终身学习服务平台》被《中国社会科学网》刊发，为开放大学服务终身学习体系构建提供了新思路。“关于湖南‘农民大学生培养计划’赋能乡村振兴”“关于当前农民收入和农业发展的几个问题”“关于当前农民收入和农业发展的几个问题”“实现高质量发展应主动破除‘内卷式’竞争”等调研内容，为乡村振兴、高质量发展等领域提供了有益的参考。</w:t>
      </w:r>
    </w:p>
    <w:p w14:paraId="2316FB7C">
      <w:pPr>
        <w:spacing w:line="600" w:lineRule="exact"/>
        <w:ind w:firstLine="640" w:firstLineChars="200"/>
        <w:rPr>
          <w:rFonts w:hint="eastAsia" w:ascii="仿宋" w:hAnsi="仿宋" w:eastAsia="仿宋" w:cs="仿宋"/>
          <w:bCs/>
          <w:color w:val="auto"/>
          <w:kern w:val="0"/>
          <w:sz w:val="32"/>
          <w:szCs w:val="32"/>
          <w:lang w:val="en-US" w:eastAsia="zh-CN" w:bidi="ar"/>
        </w:rPr>
      </w:pPr>
      <w:r>
        <w:rPr>
          <w:rFonts w:hint="eastAsia" w:ascii="仿宋" w:hAnsi="仿宋" w:eastAsia="仿宋" w:cs="仿宋"/>
          <w:bCs/>
          <w:color w:val="auto"/>
          <w:kern w:val="0"/>
          <w:sz w:val="32"/>
          <w:szCs w:val="32"/>
          <w:lang w:val="en-US" w:eastAsia="zh-CN" w:bidi="ar"/>
        </w:rPr>
        <w:t>（5）推进老年教育，拓展社区服务。一是老年教育提质扩容。采取“外引内育”双轮驱动策略，引进2名正高级行业专家、1名副教授进行开班授课，组建智能手机应用、家庭园艺、手机摄影3个课程教研团队，研发贴合老年学员需求的校本特色课程体系。制定《爱晚老年学校班主任管理办法》，进一步规范管理。全年招收学员1501人次，分别同比增长200%、173%，班级扩充至25个。二是品牌形象持续提升。升级校园环境，设置简介展板、荣誉墙及“学员风采”展示区，营造出积极向上、充满活力的校园氛围。依托微信视频号等新媒体平台，全年发布优质课堂实录、学员风采视频60余条；加强与《怀化日报》、新湖南、怀化电视台等权威主流媒体合作宣传，发布老年教育系列新闻报道，有效提升了学校的社会美誉度。三是社区服务深度拓展。联合鹤城区政府召开座谈会构建协同平台，精准开展家庭教育与老年群体智能培训等多样化教育活动。组织丰富的节庆文艺演出、公益慰问等活动，组织团队参与各级竞赛展演，在广场舞邀请赛、老年合唱比赛等中屡获佳绩，获5项省级“百姓学习之星”荣誉。组织艺术团体多次参与省、市、县文旅体活动，获邀参加省旅发大会、“湘超”等重大活动表演，积极助力文旅融合，全方位展现社区教育的社会担当。</w:t>
      </w:r>
    </w:p>
    <w:p w14:paraId="1479993C">
      <w:pPr>
        <w:spacing w:line="600" w:lineRule="exact"/>
        <w:ind w:firstLine="640" w:firstLineChars="200"/>
        <w:rPr>
          <w:rFonts w:hint="eastAsia" w:ascii="仿宋" w:hAnsi="仿宋" w:eastAsia="仿宋" w:cs="仿宋"/>
          <w:bCs/>
          <w:color w:val="0070C0"/>
          <w:kern w:val="0"/>
          <w:sz w:val="32"/>
          <w:szCs w:val="32"/>
          <w:lang w:val="en-US" w:eastAsia="zh-CN" w:bidi="ar"/>
        </w:rPr>
      </w:pPr>
      <w:r>
        <w:rPr>
          <w:rFonts w:hint="eastAsia" w:ascii="仿宋" w:hAnsi="仿宋" w:eastAsia="仿宋" w:cs="仿宋"/>
          <w:bCs/>
          <w:color w:val="auto"/>
          <w:kern w:val="0"/>
          <w:sz w:val="32"/>
          <w:szCs w:val="32"/>
          <w:lang w:val="en-US" w:eastAsia="zh-CN" w:bidi="ar"/>
        </w:rPr>
        <w:t>（6）保障民生福祉，提升幸福指数。学校党委高度重视民生工作，把师生群众利益放在重要位置，学生奖助贷补免经费得到全面保障，对乡村振兴联系点的贫困学生实行减免学费入学；学校教职员工的幸福感获得感再上层楼：全年基本执行了绩效等年度预算，改造和装修了学生宿舍、职工食堂，购置了新设备；党委专题研究安排了乡村振兴经费10.29万元；关心工会工作，大力支持学校工会文化和体育活动，落实发放了节假日福利物资，有效改善了校园的工作和生活环境，在学校财政十分紧张的情况下安排教职员工文化活动和健康体育活动5.7万元；安排法定节日慰问物资、贫困慰问、生日慰问、生育慰问、退休慰问、住院慰问等18.6万元，等等。</w:t>
      </w:r>
    </w:p>
    <w:p w14:paraId="2D61A0D2">
      <w:pPr>
        <w:pStyle w:val="5"/>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rPr>
          <w:rFonts w:hint="eastAsia" w:ascii="仿宋" w:hAnsi="仿宋" w:eastAsia="仿宋" w:cs="仿宋"/>
          <w:bCs/>
          <w:color w:val="auto"/>
          <w:kern w:val="0"/>
          <w:sz w:val="32"/>
          <w:szCs w:val="32"/>
          <w:lang w:val="en-US" w:eastAsia="zh-CN" w:bidi="ar"/>
        </w:rPr>
      </w:pPr>
      <w:r>
        <w:rPr>
          <w:rFonts w:hint="eastAsia" w:ascii="仿宋" w:hAnsi="仿宋" w:eastAsia="仿宋" w:cs="仿宋"/>
          <w:bCs/>
          <w:color w:val="auto"/>
          <w:kern w:val="0"/>
          <w:sz w:val="32"/>
          <w:szCs w:val="32"/>
          <w:lang w:val="en-US" w:eastAsia="zh-CN" w:bidi="ar"/>
        </w:rPr>
        <w:t>2.预算配置与执行情况</w:t>
      </w:r>
    </w:p>
    <w:p w14:paraId="1685C283">
      <w:pPr>
        <w:pStyle w:val="5"/>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rPr>
          <w:rFonts w:hint="eastAsia" w:ascii="仿宋" w:hAnsi="仿宋" w:eastAsia="仿宋" w:cs="仿宋"/>
          <w:bCs/>
          <w:color w:val="auto"/>
          <w:kern w:val="0"/>
          <w:sz w:val="32"/>
          <w:szCs w:val="32"/>
          <w:lang w:val="en-US" w:eastAsia="zh-CN" w:bidi="ar"/>
        </w:rPr>
      </w:pPr>
      <w:r>
        <w:rPr>
          <w:rFonts w:hint="eastAsia" w:ascii="仿宋" w:hAnsi="仿宋" w:eastAsia="仿宋" w:cs="仿宋"/>
          <w:bCs/>
          <w:color w:val="auto"/>
          <w:kern w:val="0"/>
          <w:sz w:val="32"/>
          <w:szCs w:val="32"/>
          <w:lang w:val="en-US" w:eastAsia="zh-CN" w:bidi="ar"/>
        </w:rPr>
        <w:t>在预算配置环节，学校着力优化资源配置结构，确保各项支出与绩效目标相匹配。在预算执行过程中，学校加强监控与管理，保障预算资金合规且高效使用。从实际执行情况看，预算配置合理有效，执行过程规范有序，资金得到了较为充分的利用。</w:t>
      </w:r>
    </w:p>
    <w:p w14:paraId="470722BE">
      <w:pPr>
        <w:pStyle w:val="5"/>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rPr>
          <w:rFonts w:hint="eastAsia" w:ascii="仿宋" w:hAnsi="仿宋" w:eastAsia="仿宋" w:cs="仿宋"/>
          <w:bCs/>
          <w:color w:val="auto"/>
          <w:kern w:val="0"/>
          <w:sz w:val="32"/>
          <w:szCs w:val="32"/>
          <w:lang w:val="en-US" w:eastAsia="zh-CN" w:bidi="ar"/>
        </w:rPr>
      </w:pPr>
      <w:r>
        <w:rPr>
          <w:rFonts w:hint="eastAsia" w:ascii="仿宋" w:hAnsi="仿宋" w:eastAsia="仿宋" w:cs="仿宋"/>
          <w:bCs/>
          <w:color w:val="auto"/>
          <w:kern w:val="0"/>
          <w:sz w:val="32"/>
          <w:szCs w:val="32"/>
          <w:lang w:val="en-US" w:eastAsia="zh-CN" w:bidi="ar"/>
        </w:rPr>
        <w:t>3.预算管理与资产管理情况</w:t>
      </w:r>
    </w:p>
    <w:p w14:paraId="1E779F3E">
      <w:pPr>
        <w:spacing w:before="120" w:beforeLines="50" w:line="396" w:lineRule="auto"/>
        <w:ind w:left="15" w:leftChars="7" w:right="11" w:firstLine="640" w:firstLineChars="200"/>
        <w:rPr>
          <w:rFonts w:hint="eastAsia" w:ascii="仿宋" w:hAnsi="仿宋" w:eastAsia="仿宋" w:cs="仿宋"/>
          <w:bCs/>
          <w:color w:val="auto"/>
          <w:kern w:val="0"/>
          <w:sz w:val="32"/>
          <w:szCs w:val="32"/>
          <w:lang w:val="en-US" w:eastAsia="zh-CN" w:bidi="ar"/>
        </w:rPr>
      </w:pPr>
      <w:r>
        <w:rPr>
          <w:rFonts w:hint="eastAsia" w:ascii="仿宋" w:hAnsi="仿宋" w:eastAsia="仿宋" w:cs="仿宋"/>
          <w:bCs/>
          <w:color w:val="auto"/>
          <w:kern w:val="0"/>
          <w:sz w:val="32"/>
          <w:szCs w:val="32"/>
          <w:lang w:val="en-US" w:eastAsia="zh-CN" w:bidi="ar"/>
        </w:rPr>
        <w:t>在预算管理方面，学校建立了完善的制度和流程，保障了预算管理的科学性与规范性。2025年，围绕学校事业发展重点任务，依法规范开展预算编制工作，坚持以零基预算为基础，持续优化项目库建设，不断提升预算编制质量。同时，学校强化了资产管理工作，实现了资产的合理配置和有效利用，并于2025年4月启动资产清查工作，持续提升资产管理水平。实际管理情况表明，预算管理规范有序，资产管理水平稳步提升，为学校可持续发展提供了有力支撑。</w:t>
      </w:r>
    </w:p>
    <w:p w14:paraId="5E2D5EFC">
      <w:pPr>
        <w:pStyle w:val="5"/>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rPr>
          <w:rFonts w:hint="eastAsia" w:ascii="仿宋" w:hAnsi="仿宋" w:eastAsia="仿宋" w:cs="仿宋"/>
          <w:bCs/>
          <w:color w:val="auto"/>
          <w:kern w:val="0"/>
          <w:sz w:val="32"/>
          <w:szCs w:val="32"/>
          <w:lang w:val="en-US" w:eastAsia="zh-CN" w:bidi="ar"/>
        </w:rPr>
      </w:pPr>
      <w:r>
        <w:rPr>
          <w:rFonts w:hint="eastAsia" w:ascii="仿宋" w:hAnsi="仿宋" w:eastAsia="仿宋" w:cs="仿宋"/>
          <w:bCs/>
          <w:color w:val="auto"/>
          <w:kern w:val="0"/>
          <w:sz w:val="32"/>
          <w:szCs w:val="32"/>
          <w:lang w:val="en-US" w:eastAsia="zh-CN" w:bidi="ar"/>
        </w:rPr>
        <w:t>4.职责履行与履职效益情况</w:t>
      </w:r>
    </w:p>
    <w:p w14:paraId="468A95FC">
      <w:pPr>
        <w:pStyle w:val="5"/>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40" w:firstLineChars="200"/>
        <w:jc w:val="both"/>
        <w:rPr>
          <w:rFonts w:hint="default" w:ascii="仿宋" w:hAnsi="仿宋" w:eastAsia="仿宋" w:cs="仿宋"/>
          <w:bCs/>
          <w:color w:val="auto"/>
          <w:kern w:val="0"/>
          <w:sz w:val="32"/>
          <w:szCs w:val="32"/>
          <w:lang w:val="en-US" w:eastAsia="zh-CN" w:bidi="ar"/>
        </w:rPr>
      </w:pPr>
      <w:r>
        <w:rPr>
          <w:rFonts w:hint="eastAsia" w:ascii="仿宋" w:hAnsi="仿宋" w:eastAsia="仿宋" w:cs="仿宋"/>
          <w:bCs/>
          <w:color w:val="auto"/>
          <w:kern w:val="0"/>
          <w:sz w:val="32"/>
          <w:szCs w:val="32"/>
          <w:lang w:val="en-US" w:eastAsia="zh-CN" w:bidi="ar"/>
        </w:rPr>
        <w:t>在履行部门职责方面，学校积极主动承担职责义务，为社会提供优质的教育服务。同时，学校注重提升履职效益，实现了教育资源的优化配置与高效利用。实际履职情况表明，学校职责履行到位，履职效益显著增强，为区域经济社会发展作出了积极贡献。</w:t>
      </w:r>
    </w:p>
    <w:p w14:paraId="7943E2D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3956C986">
      <w:pPr>
        <w:snapToGrid w:val="0"/>
        <w:spacing w:line="520" w:lineRule="exact"/>
        <w:ind w:firstLine="640" w:firstLineChars="200"/>
        <w:jc w:val="left"/>
        <w:rPr>
          <w:rFonts w:hint="eastAsia" w:ascii="仿宋" w:hAnsi="仿宋" w:eastAsia="仿宋" w:cs="仿宋"/>
          <w:bCs/>
          <w:color w:val="auto"/>
          <w:kern w:val="0"/>
          <w:sz w:val="32"/>
          <w:szCs w:val="32"/>
          <w:highlight w:val="none"/>
          <w:lang w:val="en-US" w:eastAsia="zh-CN" w:bidi="ar"/>
        </w:rPr>
      </w:pPr>
      <w:r>
        <w:rPr>
          <w:rFonts w:hint="eastAsia" w:ascii="仿宋" w:hAnsi="仿宋" w:eastAsia="仿宋" w:cs="仿宋"/>
          <w:bCs/>
          <w:color w:val="auto"/>
          <w:kern w:val="0"/>
          <w:sz w:val="32"/>
          <w:szCs w:val="32"/>
          <w:highlight w:val="none"/>
          <w:lang w:val="en-US" w:eastAsia="zh-CN" w:bidi="ar"/>
        </w:rPr>
        <w:t>2025年部门预算执行及绩效管理中，存在以下问题：</w:t>
      </w:r>
    </w:p>
    <w:p w14:paraId="187B3183">
      <w:pPr>
        <w:numPr>
          <w:ilvl w:val="0"/>
          <w:numId w:val="0"/>
        </w:numPr>
        <w:snapToGrid w:val="0"/>
        <w:spacing w:line="520" w:lineRule="exact"/>
        <w:ind w:firstLine="640" w:firstLineChars="200"/>
        <w:jc w:val="left"/>
        <w:rPr>
          <w:rFonts w:hint="eastAsia" w:ascii="仿宋" w:hAnsi="仿宋" w:eastAsia="仿宋" w:cs="仿宋"/>
          <w:bCs/>
          <w:color w:val="auto"/>
          <w:kern w:val="0"/>
          <w:sz w:val="32"/>
          <w:szCs w:val="32"/>
          <w:highlight w:val="none"/>
          <w:lang w:val="en-US" w:eastAsia="zh-CN" w:bidi="ar"/>
        </w:rPr>
      </w:pPr>
      <w:r>
        <w:rPr>
          <w:rFonts w:hint="eastAsia" w:ascii="仿宋" w:hAnsi="仿宋" w:eastAsia="仿宋" w:cs="仿宋"/>
          <w:bCs/>
          <w:color w:val="auto"/>
          <w:kern w:val="0"/>
          <w:sz w:val="32"/>
          <w:szCs w:val="32"/>
          <w:highlight w:val="none"/>
          <w:lang w:val="en-US" w:eastAsia="zh-CN" w:bidi="ar"/>
        </w:rPr>
        <w:t>（一）</w:t>
      </w:r>
      <w:r>
        <w:rPr>
          <w:rFonts w:hint="eastAsia" w:ascii="仿宋" w:hAnsi="仿宋" w:eastAsia="仿宋" w:cs="仿宋"/>
          <w:bCs/>
          <w:color w:val="auto"/>
          <w:kern w:val="0"/>
          <w:sz w:val="32"/>
          <w:szCs w:val="32"/>
          <w:highlight w:val="none"/>
          <w:lang w:val="en-US" w:eastAsia="zh-CN" w:bidi="ar"/>
        </w:rPr>
        <w:t>跨部门沟通协作有待加强。预算全流程工作需要多部门配合，但部门之间日常沟通对接不够及时，容易出现预算内容重复填报、</w:t>
      </w:r>
      <w:bookmarkStart w:id="1" w:name="_GoBack"/>
      <w:bookmarkEnd w:id="1"/>
      <w:r>
        <w:rPr>
          <w:rFonts w:hint="eastAsia" w:ascii="仿宋" w:hAnsi="仿宋" w:eastAsia="仿宋" w:cs="仿宋"/>
          <w:bCs/>
          <w:color w:val="auto"/>
          <w:kern w:val="0"/>
          <w:sz w:val="32"/>
          <w:szCs w:val="32"/>
          <w:highlight w:val="none"/>
          <w:lang w:val="en-US" w:eastAsia="zh-CN" w:bidi="ar"/>
        </w:rPr>
        <w:t>需求漏报的情况，影响预算整体执行效率。</w:t>
      </w:r>
    </w:p>
    <w:p w14:paraId="68DD9955">
      <w:pPr>
        <w:numPr>
          <w:ilvl w:val="0"/>
          <w:numId w:val="0"/>
        </w:numPr>
        <w:snapToGrid w:val="0"/>
        <w:spacing w:line="520" w:lineRule="exact"/>
        <w:ind w:firstLine="640" w:firstLineChars="200"/>
        <w:jc w:val="left"/>
        <w:rPr>
          <w:rFonts w:hint="eastAsia" w:ascii="仿宋" w:hAnsi="仿宋" w:eastAsia="仿宋" w:cs="仿宋"/>
          <w:bCs/>
          <w:color w:val="auto"/>
          <w:kern w:val="0"/>
          <w:sz w:val="32"/>
          <w:szCs w:val="32"/>
          <w:highlight w:val="none"/>
          <w:lang w:val="en-US" w:eastAsia="zh-CN" w:bidi="ar"/>
        </w:rPr>
      </w:pPr>
      <w:r>
        <w:rPr>
          <w:rFonts w:hint="eastAsia" w:ascii="仿宋" w:hAnsi="仿宋" w:eastAsia="仿宋" w:cs="仿宋"/>
          <w:bCs/>
          <w:color w:val="auto"/>
          <w:kern w:val="0"/>
          <w:sz w:val="32"/>
          <w:szCs w:val="32"/>
          <w:highlight w:val="none"/>
          <w:lang w:val="en-US" w:eastAsia="zh-CN" w:bidi="ar"/>
        </w:rPr>
        <w:t>（二）</w:t>
      </w:r>
      <w:r>
        <w:rPr>
          <w:rFonts w:hint="eastAsia" w:ascii="仿宋" w:hAnsi="仿宋" w:eastAsia="仿宋" w:cs="仿宋"/>
          <w:bCs/>
          <w:color w:val="auto"/>
          <w:kern w:val="0"/>
          <w:sz w:val="32"/>
          <w:szCs w:val="32"/>
          <w:highlight w:val="none"/>
          <w:lang w:val="en-US" w:eastAsia="zh-CN" w:bidi="ar"/>
        </w:rPr>
        <w:t>预算日常过程管控偏弱。预算日常监管多集中在期末集中核查，对月度预算执行进度把控不够细致，部分项目存在执行进度不均衡的现象。</w:t>
      </w:r>
    </w:p>
    <w:p w14:paraId="0B331608">
      <w:pPr>
        <w:numPr>
          <w:ilvl w:val="0"/>
          <w:numId w:val="0"/>
        </w:numPr>
        <w:snapToGrid w:val="0"/>
        <w:spacing w:line="520" w:lineRule="exact"/>
        <w:ind w:firstLine="640" w:firstLineChars="200"/>
        <w:jc w:val="left"/>
        <w:rPr>
          <w:rFonts w:hint="default" w:ascii="仿宋" w:hAnsi="仿宋" w:eastAsia="仿宋" w:cs="仿宋"/>
          <w:bCs/>
          <w:color w:val="auto"/>
          <w:kern w:val="0"/>
          <w:sz w:val="32"/>
          <w:szCs w:val="32"/>
          <w:highlight w:val="none"/>
          <w:lang w:val="en-US" w:eastAsia="zh-CN" w:bidi="ar"/>
        </w:rPr>
      </w:pPr>
      <w:r>
        <w:rPr>
          <w:rFonts w:hint="eastAsia" w:ascii="仿宋" w:hAnsi="仿宋" w:eastAsia="仿宋" w:cs="仿宋"/>
          <w:bCs/>
          <w:color w:val="auto"/>
          <w:kern w:val="0"/>
          <w:sz w:val="32"/>
          <w:szCs w:val="32"/>
          <w:highlight w:val="none"/>
          <w:lang w:val="en-US" w:eastAsia="zh-CN" w:bidi="ar"/>
        </w:rPr>
        <w:t>（三）</w:t>
      </w:r>
      <w:r>
        <w:rPr>
          <w:rFonts w:hint="eastAsia" w:ascii="仿宋" w:hAnsi="仿宋" w:eastAsia="仿宋" w:cs="仿宋"/>
          <w:bCs/>
          <w:color w:val="auto"/>
          <w:kern w:val="0"/>
          <w:sz w:val="32"/>
          <w:szCs w:val="32"/>
          <w:highlight w:val="none"/>
          <w:lang w:val="en-US" w:eastAsia="zh-CN" w:bidi="ar"/>
        </w:rPr>
        <w:t>政策变化把握不够到位。外部政策环境的变化，会对学校招生、教学和科研等工作产生一定影响，预算安排难以快速贴合最新政策要求。</w:t>
      </w:r>
    </w:p>
    <w:p w14:paraId="4F0F7806">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kern w:val="2"/>
          <w:sz w:val="32"/>
          <w:szCs w:val="32"/>
          <w:highlight w:val="none"/>
          <w:lang w:val="en-US" w:eastAsia="zh-CN" w:bidi="ar-SA"/>
        </w:rPr>
        <w:t>十、</w:t>
      </w:r>
      <w:r>
        <w:rPr>
          <w:rFonts w:hint="default" w:ascii="方正黑体_GBK" w:hAnsi="方正黑体_GBK" w:eastAsia="方正黑体_GBK" w:cs="方正黑体_GBK"/>
          <w:b/>
          <w:bCs/>
          <w:color w:val="auto"/>
          <w:sz w:val="32"/>
          <w:szCs w:val="32"/>
          <w:highlight w:val="none"/>
          <w:lang w:val="en-US" w:eastAsia="zh-CN"/>
        </w:rPr>
        <w:t>下一步改进措施</w:t>
      </w:r>
    </w:p>
    <w:p w14:paraId="52EA2CEA">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针对2025年部门预算执行及绩效管理中存在的问题，现提出以下改进措施：</w:t>
      </w:r>
    </w:p>
    <w:p w14:paraId="36AB4ED8">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在预算编制、执行、绩效评价各阶段，由财务部门定期与业务部门开展对接工作，同步工作信息，提前核对各部门预算需求，避免重复申报、漏报错报问题。</w:t>
      </w:r>
    </w:p>
    <w:p w14:paraId="225BD47B">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firstLine="640" w:firstLineChars="200"/>
        <w:jc w:val="both"/>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实时跟踪各项目资金支出进度，对进度偏慢的项目及时提醒督办；引导各部门合理规划支出进度，避免期末集中支付、执行进度不均衡的问题。</w:t>
      </w:r>
    </w:p>
    <w:p w14:paraId="2497FF2D">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firstLine="640" w:firstLineChars="200"/>
        <w:jc w:val="both"/>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及时收集梳理最新的政府政策，同步传达至各部门，结合校内工作实际，及时调整预算安排和绩效工作安排，贴合政策管理要求。</w:t>
      </w:r>
    </w:p>
    <w:p w14:paraId="6A2EBD7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60AFF67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绩效自评结果将作为改进管理、优化资源配置的重要依据，用于调整后续工作计划和预算安排，并纳入单位及个人的考核评价体系；同时，按照相关规定，自评结果将通过内部公示或政府网站等渠道向社会公开，内容包括绩效目标完成情况、自评得分、存在问题及改进措施等，确保绩效管理的透明度和公信力。</w:t>
      </w:r>
    </w:p>
    <w:p w14:paraId="0D944C4B">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kern w:val="2"/>
          <w:sz w:val="32"/>
          <w:szCs w:val="32"/>
          <w:lang w:val="en-US" w:eastAsia="zh-CN" w:bidi="ar-SA"/>
        </w:rPr>
        <w:t>十二、</w:t>
      </w:r>
      <w:r>
        <w:rPr>
          <w:rFonts w:hint="default" w:ascii="方正黑体_GBK" w:hAnsi="方正黑体_GBK" w:eastAsia="方正黑体_GBK" w:cs="方正黑体_GBK"/>
          <w:b/>
          <w:bCs/>
          <w:color w:val="auto"/>
          <w:sz w:val="32"/>
          <w:szCs w:val="32"/>
          <w:highlight w:val="none"/>
          <w:lang w:val="en-US" w:eastAsia="zh-CN"/>
        </w:rPr>
        <w:t>其他需要说明的情况</w:t>
      </w:r>
    </w:p>
    <w:p w14:paraId="0D7607B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w:t>
      </w:r>
    </w:p>
    <w:p w14:paraId="23C3FCA7">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7FF1F58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2057EE8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3630364B">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附件：</w:t>
      </w:r>
      <w:r>
        <w:rPr>
          <w:rFonts w:hint="eastAsia" w:ascii="仿宋" w:hAnsi="仿宋" w:eastAsia="仿宋" w:cs="仿宋"/>
          <w:color w:val="auto"/>
          <w:sz w:val="32"/>
          <w:szCs w:val="32"/>
          <w:highlight w:val="none"/>
          <w:lang w:val="en-US" w:eastAsia="zh-CN"/>
        </w:rPr>
        <w:t>1.部门整体支出绩效评价基础数据表</w:t>
      </w:r>
    </w:p>
    <w:p w14:paraId="0686746D">
      <w:pPr>
        <w:keepNext w:val="0"/>
        <w:keepLines w:val="0"/>
        <w:pageBreakBefore w:val="0"/>
        <w:widowControl w:val="0"/>
        <w:kinsoku/>
        <w:wordWrap/>
        <w:overflowPunct/>
        <w:topLinePunct w:val="0"/>
        <w:autoSpaceDE/>
        <w:autoSpaceDN/>
        <w:bidi w:val="0"/>
        <w:adjustRightInd/>
        <w:snapToGrid w:val="0"/>
        <w:spacing w:line="560" w:lineRule="exact"/>
        <w:ind w:firstLine="1600" w:firstLineChars="500"/>
        <w:jc w:val="both"/>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2.部门整体支出绩效自评表</w:t>
      </w:r>
    </w:p>
    <w:p w14:paraId="709BB4AA">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pPr>
      <w:r>
        <w:rPr>
          <w:rFonts w:hint="eastAsia" w:ascii="仿宋" w:hAnsi="仿宋" w:eastAsia="仿宋" w:cs="仿宋"/>
          <w:i w:val="0"/>
          <w:iCs w:val="0"/>
          <w:caps w:val="0"/>
          <w:color w:val="000000"/>
          <w:spacing w:val="0"/>
          <w:kern w:val="2"/>
          <w:sz w:val="32"/>
          <w:szCs w:val="32"/>
          <w:shd w:val="clear" w:fill="FFFFFF"/>
          <w:lang w:val="en-US" w:eastAsia="zh-CN" w:bidi="ar-SA"/>
        </w:rPr>
        <w:t>3.项目支出绩效自评表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1" w:fontKey="{E2511F27-3242-45D7-9B71-CE37F8B08E7B}"/>
  </w:font>
  <w:font w:name="方正黑体_GBK">
    <w:panose1 w:val="02010600010101010101"/>
    <w:charset w:val="86"/>
    <w:family w:val="auto"/>
    <w:pitch w:val="default"/>
    <w:sig w:usb0="00000001" w:usb1="080E0000" w:usb2="00000000" w:usb3="00000000" w:csb0="00040000" w:csb1="00000000"/>
    <w:embedRegular r:id="rId2" w:fontKey="{77BC4D02-0492-4CC6-992D-861D28E6A6B4}"/>
  </w:font>
  <w:font w:name="Times New Roman Regular">
    <w:altName w:val="Times New Roman"/>
    <w:panose1 w:val="02020603050405020304"/>
    <w:charset w:val="00"/>
    <w:family w:val="auto"/>
    <w:pitch w:val="default"/>
    <w:sig w:usb0="00000000" w:usb1="00000000" w:usb2="00000009" w:usb3="00000000" w:csb0="400001FF" w:csb1="FFFF0000"/>
    <w:embedRegular r:id="rId3" w:fontKey="{DD3B3724-A819-48A1-988C-32A864D3A165}"/>
  </w:font>
  <w:font w:name="仿宋_GB2312">
    <w:altName w:val="仿宋"/>
    <w:panose1 w:val="02010609030101010101"/>
    <w:charset w:val="86"/>
    <w:family w:val="auto"/>
    <w:pitch w:val="default"/>
    <w:sig w:usb0="00000000" w:usb1="00000000" w:usb2="00000000" w:usb3="00000000" w:csb0="00040000" w:csb1="00000000"/>
    <w:embedRegular r:id="rId4" w:fontKey="{13608752-4658-4607-B56E-1538C7DF6025}"/>
  </w:font>
  <w:font w:name="仿宋">
    <w:panose1 w:val="02010609060101010101"/>
    <w:charset w:val="86"/>
    <w:family w:val="auto"/>
    <w:pitch w:val="default"/>
    <w:sig w:usb0="800002BF" w:usb1="38CF7CFA" w:usb2="00000016" w:usb3="00000000" w:csb0="00040001" w:csb1="00000000"/>
    <w:embedRegular r:id="rId5" w:fontKey="{AEB0C67D-59D6-41D1-B295-D3528F6779B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03067B"/>
    <w:multiLevelType w:val="singleLevel"/>
    <w:tmpl w:val="3803067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E73D12"/>
    <w:rsid w:val="0197677A"/>
    <w:rsid w:val="088B7C31"/>
    <w:rsid w:val="22981651"/>
    <w:rsid w:val="2ACF7D27"/>
    <w:rsid w:val="43E73D12"/>
    <w:rsid w:val="544F115F"/>
    <w:rsid w:val="5D8F2352"/>
    <w:rsid w:val="73AF6C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6837</Words>
  <Characters>7135</Characters>
  <Lines>0</Lines>
  <Paragraphs>0</Paragraphs>
  <TotalTime>42</TotalTime>
  <ScaleCrop>false</ScaleCrop>
  <LinksUpToDate>false</LinksUpToDate>
  <CharactersWithSpaces>7148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2026-06-12T01:14:00Z</dcterms:created>
  <dc:creator>Administrator</dc:creator>
  <cp:lastModifiedBy>Administrator</cp:lastModifiedBy>
  <dcterms:modified xsi:type="dcterms:W3CDTF">2026-06-17T03:53:37Z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BF9F995FD7084A5DA579FE3ADD8938D6_13</vt:lpwstr>
  </property>
  <property fmtid="{D5CDD505-2E9C-101B-9397-08002B2CF9AE}" pid="4" name="KSOTemplateDocerSaveRecord">
    <vt:lpwstr>eyJoZGlkIjoiY2IxNTgyZjc3YmIwZWNkZmMyMjQzZjNlYTU5NjQ0ZjQiLCJ1c2VySWQiOiI1MTQ2MTgyNjEifQ==</vt:lpwstr>
  </property>
</Properties>
</file>